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1DB86D23"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proofErr w:type="spellStart"/>
      <w:r w:rsidR="00801F1C">
        <w:rPr>
          <w:rFonts w:asciiTheme="majorHAnsi" w:hAnsiTheme="majorHAnsi" w:cstheme="majorHAnsi"/>
        </w:rPr>
        <w:t>Larkfields</w:t>
      </w:r>
      <w:proofErr w:type="spellEnd"/>
      <w:r w:rsidR="00C4206C">
        <w:rPr>
          <w:rFonts w:asciiTheme="majorHAnsi" w:hAnsiTheme="majorHAnsi" w:cstheme="majorHAnsi"/>
        </w:rPr>
        <w:t xml:space="preserve"> </w:t>
      </w:r>
      <w:r w:rsidR="00EF107F">
        <w:rPr>
          <w:rFonts w:asciiTheme="majorHAnsi" w:hAnsiTheme="majorHAnsi" w:cstheme="majorHAnsi"/>
        </w:rPr>
        <w:t>Infants</w:t>
      </w:r>
      <w:r w:rsidR="00143F88">
        <w:rPr>
          <w:rFonts w:asciiTheme="majorHAnsi" w:hAnsiTheme="majorHAnsi" w:cstheme="majorHAnsi"/>
        </w:rPr>
        <w:t xml:space="preserve"> School</w:t>
      </w:r>
      <w:r w:rsidR="00C103F0">
        <w:rPr>
          <w:rFonts w:asciiTheme="majorHAnsi" w:hAnsiTheme="majorHAnsi" w:cstheme="majorHAnsi"/>
          <w:color w:val="0070C0"/>
        </w:rPr>
        <w:tab/>
      </w:r>
    </w:p>
    <w:p w14:paraId="07575133" w14:textId="0E75A509"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801F1C">
        <w:rPr>
          <w:rFonts w:asciiTheme="majorHAnsi" w:hAnsiTheme="majorHAnsi" w:cstheme="majorHAnsi"/>
        </w:rPr>
        <w:t>22</w:t>
      </w:r>
      <w:r w:rsidR="00C4206C">
        <w:rPr>
          <w:rFonts w:asciiTheme="majorHAnsi" w:hAnsiTheme="majorHAnsi" w:cstheme="majorHAnsi"/>
        </w:rPr>
        <w:t>.02</w:t>
      </w:r>
      <w:r w:rsidR="002A0411" w:rsidRPr="00AF052A">
        <w:rPr>
          <w:rFonts w:asciiTheme="majorHAnsi" w:hAnsiTheme="majorHAnsi" w:cstheme="majorHAnsi"/>
        </w:rPr>
        <w:t>.2022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421DB67F"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801F1C">
        <w:rPr>
          <w:rFonts w:asciiTheme="majorHAnsi" w:eastAsia="Calibri" w:hAnsiTheme="majorHAnsi" w:cstheme="majorHAnsi"/>
          <w:b/>
          <w:sz w:val="36"/>
          <w:szCs w:val="36"/>
        </w:rPr>
        <w:t>Zoe Allen</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0E192E91"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17F92273"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9B2747">
        <w:rPr>
          <w:rFonts w:asciiTheme="majorHAnsi" w:hAnsiTheme="majorHAnsi" w:cstheme="majorHAnsi"/>
        </w:rPr>
        <w:t>up to date and published on the website</w:t>
      </w:r>
    </w:p>
    <w:p w14:paraId="0766DCED" w14:textId="1A96B60F"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 </w:t>
      </w:r>
      <w:r w:rsidR="009F2B0D">
        <w:rPr>
          <w:rFonts w:asciiTheme="majorHAnsi" w:hAnsiTheme="majorHAnsi" w:cstheme="majorHAnsi"/>
        </w:rPr>
        <w:t xml:space="preserve">Pupils &amp; Parents notice published – </w:t>
      </w:r>
      <w:r w:rsidR="00266994">
        <w:rPr>
          <w:rFonts w:asciiTheme="majorHAnsi" w:hAnsiTheme="majorHAnsi" w:cstheme="majorHAnsi"/>
        </w:rPr>
        <w:t>I would advise separate policies for Workforce &amp; Visitors in addition.  Templates attached</w:t>
      </w:r>
      <w:r w:rsidR="009F2B0D">
        <w:rPr>
          <w:rFonts w:asciiTheme="majorHAnsi" w:hAnsiTheme="majorHAnsi" w:cstheme="majorHAnsi"/>
        </w:rPr>
        <w:t xml:space="preserve"> </w:t>
      </w:r>
      <w:r w:rsidR="00266994">
        <w:rPr>
          <w:rFonts w:asciiTheme="majorHAnsi" w:hAnsiTheme="majorHAnsi" w:cstheme="majorHAnsi"/>
        </w:rPr>
        <w:t>should you wish to adopt these.</w:t>
      </w:r>
    </w:p>
    <w:p w14:paraId="260386C9" w14:textId="2D5457C5" w:rsidR="009E3F60" w:rsidRDefault="009E3F60" w:rsidP="000A02B6">
      <w:pPr>
        <w:pStyle w:val="ListParagraph"/>
        <w:numPr>
          <w:ilvl w:val="1"/>
          <w:numId w:val="5"/>
        </w:numPr>
        <w:rPr>
          <w:rFonts w:asciiTheme="majorHAnsi" w:hAnsiTheme="majorHAnsi" w:cstheme="majorHAnsi"/>
        </w:rPr>
      </w:pPr>
      <w:r>
        <w:rPr>
          <w:rFonts w:asciiTheme="majorHAnsi" w:hAnsiTheme="majorHAnsi" w:cstheme="majorHAnsi"/>
        </w:rPr>
        <w:t>FOI Policy</w:t>
      </w:r>
      <w:r w:rsidR="009F2B0D">
        <w:rPr>
          <w:rFonts w:asciiTheme="majorHAnsi" w:hAnsiTheme="majorHAnsi" w:cstheme="majorHAnsi"/>
        </w:rPr>
        <w:t xml:space="preserve"> </w:t>
      </w:r>
      <w:r w:rsidR="000D13C3">
        <w:rPr>
          <w:rFonts w:asciiTheme="majorHAnsi" w:hAnsiTheme="majorHAnsi" w:cstheme="majorHAnsi"/>
        </w:rPr>
        <w:t xml:space="preserve">&amp; </w:t>
      </w:r>
      <w:r>
        <w:rPr>
          <w:rFonts w:asciiTheme="majorHAnsi" w:hAnsiTheme="majorHAnsi" w:cstheme="majorHAnsi"/>
        </w:rPr>
        <w:t>Publication Scheme</w:t>
      </w:r>
      <w:r w:rsidR="00333DDA">
        <w:rPr>
          <w:rFonts w:asciiTheme="majorHAnsi" w:hAnsiTheme="majorHAnsi" w:cstheme="majorHAnsi"/>
        </w:rPr>
        <w:t xml:space="preserve"> </w:t>
      </w:r>
      <w:r w:rsidR="000D13C3">
        <w:rPr>
          <w:rFonts w:asciiTheme="majorHAnsi" w:hAnsiTheme="majorHAnsi" w:cstheme="majorHAnsi"/>
        </w:rPr>
        <w:t>are</w:t>
      </w:r>
      <w:r w:rsidR="00333DDA">
        <w:rPr>
          <w:rFonts w:asciiTheme="majorHAnsi" w:hAnsiTheme="majorHAnsi" w:cstheme="majorHAnsi"/>
        </w:rPr>
        <w:t xml:space="preserve"> </w:t>
      </w:r>
      <w:r w:rsidR="00BE6EF2">
        <w:t>Trust document</w:t>
      </w:r>
      <w:r w:rsidR="000D13C3">
        <w:t>s</w:t>
      </w:r>
      <w:r w:rsidR="00BE6EF2">
        <w:t xml:space="preserve"> – may be worth adding a link to your website taking you to the EMET Trust Information page</w:t>
      </w:r>
      <w:r w:rsidR="00266994">
        <w:t xml:space="preserve">: </w:t>
      </w:r>
      <w:hyperlink r:id="rId8" w:history="1">
        <w:r w:rsidR="00266994">
          <w:rPr>
            <w:rStyle w:val="Hyperlink"/>
          </w:rPr>
          <w:t>East Midlands Education Trust - Trust Information (emet.eu.com)</w:t>
        </w:r>
      </w:hyperlink>
    </w:p>
    <w:p w14:paraId="4C9257AB" w14:textId="2C53678E" w:rsidR="00D74D3E" w:rsidRDefault="00D74D3E"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745C4E4B" w:rsidR="00340C4D" w:rsidRDefault="00D0405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Log breaches, SARs &amp; FOIs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a ‘ticket’ is sent to us at DPE and we can support you via this ticketing system, keeping it recorded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w:t>
      </w:r>
    </w:p>
    <w:p w14:paraId="1C517528" w14:textId="0FEB8F4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“Near miss” breaches can be logged at the Head’s discretion; it is good for identifying trends and tailoring staff training to reflect the common breaches.</w:t>
      </w:r>
    </w:p>
    <w:p w14:paraId="57AAFC99" w14:textId="7D1192A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Should you receive a Subject Access Request, please log this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and we can support you with what information can be redacted and of any exemptions that may be applicable.</w:t>
      </w:r>
    </w:p>
    <w:p w14:paraId="16B884B6" w14:textId="77777777" w:rsidR="00340C4D" w:rsidRPr="003E6F68" w:rsidRDefault="00340C4D"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57BD540F" w:rsidR="003A4EC1" w:rsidRDefault="004D0F1E" w:rsidP="000A02B6">
      <w:pPr>
        <w:pStyle w:val="ListParagraph"/>
        <w:numPr>
          <w:ilvl w:val="0"/>
          <w:numId w:val="7"/>
        </w:numPr>
        <w:ind w:left="709" w:hanging="425"/>
        <w:rPr>
          <w:rFonts w:asciiTheme="majorHAnsi" w:hAnsiTheme="majorHAnsi" w:cstheme="majorHAnsi"/>
          <w:bCs/>
        </w:rPr>
      </w:pPr>
      <w:proofErr w:type="spellStart"/>
      <w:r w:rsidRPr="004D0F1E">
        <w:rPr>
          <w:rFonts w:asciiTheme="majorHAnsi" w:hAnsiTheme="majorHAnsi" w:cstheme="majorHAnsi"/>
          <w:bCs/>
        </w:rPr>
        <w:t>GDPRiS</w:t>
      </w:r>
      <w:proofErr w:type="spellEnd"/>
      <w:r w:rsidRPr="004D0F1E">
        <w:rPr>
          <w:rFonts w:asciiTheme="majorHAnsi" w:hAnsiTheme="majorHAnsi" w:cstheme="majorHAnsi"/>
          <w:bCs/>
        </w:rPr>
        <w:t xml:space="preserve"> have </w:t>
      </w:r>
      <w:r>
        <w:rPr>
          <w:rFonts w:asciiTheme="majorHAnsi" w:hAnsiTheme="majorHAnsi" w:cstheme="majorHAnsi"/>
          <w:bCs/>
        </w:rPr>
        <w:t>departmental specific training</w:t>
      </w:r>
      <w:r w:rsidR="00D04056">
        <w:rPr>
          <w:rFonts w:asciiTheme="majorHAnsi" w:hAnsiTheme="majorHAnsi" w:cstheme="majorHAnsi"/>
          <w:bCs/>
        </w:rPr>
        <w:t xml:space="preserve"> – ‘Documents &amp; Training’ – ‘Courses’ – enrol all staff and they can begin completing training for their department</w:t>
      </w:r>
      <w:r w:rsidR="00353C67">
        <w:rPr>
          <w:rFonts w:asciiTheme="majorHAnsi" w:hAnsiTheme="majorHAnsi" w:cstheme="majorHAnsi"/>
          <w:bCs/>
        </w:rPr>
        <w:t xml:space="preserve">.  </w:t>
      </w:r>
      <w:r w:rsidR="000D13C3">
        <w:rPr>
          <w:rFonts w:asciiTheme="majorHAnsi" w:hAnsiTheme="majorHAnsi" w:cstheme="majorHAnsi"/>
          <w:bCs/>
        </w:rPr>
        <w:t>We recommend</w:t>
      </w:r>
      <w:r w:rsidR="00353C67">
        <w:rPr>
          <w:rFonts w:asciiTheme="majorHAnsi" w:hAnsiTheme="majorHAnsi" w:cstheme="majorHAnsi"/>
          <w:bCs/>
        </w:rPr>
        <w:t xml:space="preserve"> the </w:t>
      </w:r>
      <w:r w:rsidR="00D04056">
        <w:rPr>
          <w:rFonts w:asciiTheme="majorHAnsi" w:hAnsiTheme="majorHAnsi" w:cstheme="majorHAnsi"/>
          <w:bCs/>
        </w:rPr>
        <w:t>NCSC</w:t>
      </w:r>
      <w:r w:rsidR="00353C67">
        <w:rPr>
          <w:rFonts w:asciiTheme="majorHAnsi" w:hAnsiTheme="majorHAnsi" w:cstheme="majorHAnsi"/>
          <w:bCs/>
        </w:rPr>
        <w:t xml:space="preserve"> (National Cyber Security Centre)</w:t>
      </w:r>
      <w:r w:rsidR="00D04056">
        <w:rPr>
          <w:rFonts w:asciiTheme="majorHAnsi" w:hAnsiTheme="majorHAnsi" w:cstheme="majorHAnsi"/>
          <w:bCs/>
        </w:rPr>
        <w:t xml:space="preserve"> + Managing SARs</w:t>
      </w:r>
      <w:r w:rsidR="00353C67">
        <w:rPr>
          <w:rFonts w:asciiTheme="majorHAnsi" w:hAnsiTheme="majorHAnsi" w:cstheme="majorHAnsi"/>
          <w:bCs/>
        </w:rPr>
        <w:t xml:space="preserve"> courses would be particularly useful.</w:t>
      </w:r>
      <w:r w:rsidR="000D13C3">
        <w:rPr>
          <w:rFonts w:asciiTheme="majorHAnsi" w:hAnsiTheme="majorHAnsi" w:cstheme="majorHAnsi"/>
          <w:bCs/>
        </w:rPr>
        <w:t xml:space="preserve">  </w:t>
      </w:r>
      <w:r w:rsidR="000D13C3" w:rsidRPr="000D13C3">
        <w:rPr>
          <w:rFonts w:asciiTheme="majorHAnsi" w:hAnsiTheme="majorHAnsi" w:cstheme="majorHAnsi"/>
          <w:bCs/>
        </w:rPr>
        <w:t>We advise</w:t>
      </w:r>
      <w:r w:rsidR="000D13C3">
        <w:rPr>
          <w:rFonts w:asciiTheme="majorHAnsi" w:hAnsiTheme="majorHAnsi" w:cstheme="majorHAnsi"/>
          <w:bCs/>
        </w:rPr>
        <w:t xml:space="preserve"> GDPR training is undertaken every 2 years as a refresher and made part of the induction process for new staff.</w:t>
      </w:r>
    </w:p>
    <w:p w14:paraId="38C46C39" w14:textId="77777777" w:rsidR="00333DDA" w:rsidRDefault="00333DDA"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4C69C42A" w:rsidR="00340C4D" w:rsidRDefault="00520960"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Begin to populate the</w:t>
      </w:r>
      <w:r w:rsidR="00340C4D">
        <w:rPr>
          <w:rFonts w:asciiTheme="majorHAnsi" w:hAnsiTheme="majorHAnsi" w:cstheme="majorHAnsi"/>
        </w:rPr>
        <w:t xml:space="preserve"> Supplier Management section on the </w:t>
      </w:r>
      <w:proofErr w:type="spellStart"/>
      <w:r w:rsidR="00340C4D">
        <w:rPr>
          <w:rFonts w:asciiTheme="majorHAnsi" w:hAnsiTheme="majorHAnsi" w:cstheme="majorHAnsi"/>
        </w:rPr>
        <w:t>GDPRiS</w:t>
      </w:r>
      <w:proofErr w:type="spellEnd"/>
      <w:r w:rsidR="00340C4D">
        <w:rPr>
          <w:rFonts w:asciiTheme="majorHAnsi" w:hAnsiTheme="majorHAnsi" w:cstheme="majorHAnsi"/>
        </w:rPr>
        <w:t xml:space="preserve"> platform</w:t>
      </w:r>
      <w:r w:rsidR="00166C23">
        <w:rPr>
          <w:rFonts w:asciiTheme="majorHAnsi" w:hAnsiTheme="majorHAnsi" w:cstheme="majorHAnsi"/>
        </w:rPr>
        <w:t>.  Check regularly and add/remove contracts as necessary.</w:t>
      </w:r>
    </w:p>
    <w:p w14:paraId="12FD905B" w14:textId="6FA4D4BD" w:rsidR="00340C4D" w:rsidRDefault="00340C4D" w:rsidP="000A02B6">
      <w:pPr>
        <w:pStyle w:val="ListParagraph"/>
        <w:ind w:left="284"/>
        <w:rPr>
          <w:rFonts w:asciiTheme="majorHAnsi" w:hAnsiTheme="majorHAnsi" w:cstheme="majorHAnsi"/>
          <w:b/>
          <w:color w:val="0070C0"/>
          <w:sz w:val="28"/>
          <w:szCs w:val="28"/>
        </w:rPr>
      </w:pPr>
    </w:p>
    <w:p w14:paraId="218257D7" w14:textId="20708C47" w:rsidR="00166C23" w:rsidRDefault="00166C23" w:rsidP="000A02B6">
      <w:pPr>
        <w:pStyle w:val="ListParagraph"/>
        <w:ind w:left="284"/>
        <w:rPr>
          <w:rFonts w:asciiTheme="majorHAnsi" w:hAnsiTheme="majorHAnsi" w:cstheme="majorHAnsi"/>
          <w:b/>
          <w:color w:val="0070C0"/>
          <w:sz w:val="28"/>
          <w:szCs w:val="28"/>
        </w:rPr>
      </w:pPr>
    </w:p>
    <w:p w14:paraId="18C249FA" w14:textId="709CA88D" w:rsidR="00166C23" w:rsidRDefault="00166C23" w:rsidP="000A02B6">
      <w:pPr>
        <w:pStyle w:val="ListParagraph"/>
        <w:ind w:left="284"/>
        <w:rPr>
          <w:rFonts w:asciiTheme="majorHAnsi" w:hAnsiTheme="majorHAnsi" w:cstheme="majorHAnsi"/>
          <w:b/>
          <w:color w:val="0070C0"/>
          <w:sz w:val="28"/>
          <w:szCs w:val="28"/>
        </w:rPr>
      </w:pPr>
    </w:p>
    <w:p w14:paraId="3E2E1F21" w14:textId="77E1A4A6"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9E0D8A2" w14:textId="6393978D" w:rsidR="000A02B6" w:rsidRPr="000A02B6" w:rsidRDefault="000A02B6"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EMET have a Trust Retention Policy </w:t>
      </w:r>
      <w:r w:rsidR="000D13C3">
        <w:rPr>
          <w:rFonts w:ascii="Calibri" w:eastAsia="Calibri" w:hAnsi="Calibri" w:cs="Calibri"/>
          <w:sz w:val="24"/>
          <w:szCs w:val="24"/>
          <w:highlight w:val="white"/>
        </w:rPr>
        <w:t>for your reference</w:t>
      </w:r>
      <w:r w:rsidRPr="000A02B6">
        <w:rPr>
          <w:rFonts w:ascii="Calibri" w:eastAsia="Calibri" w:hAnsi="Calibri" w:cs="Calibri"/>
          <w:sz w:val="24"/>
          <w:szCs w:val="24"/>
          <w:highlight w:val="white"/>
        </w:rPr>
        <w:t xml:space="preserve">.  </w:t>
      </w:r>
      <w:r w:rsidR="00333DDA">
        <w:rPr>
          <w:rFonts w:ascii="Calibri" w:eastAsia="Calibri" w:hAnsi="Calibri" w:cs="Calibri"/>
          <w:sz w:val="24"/>
          <w:szCs w:val="24"/>
          <w:highlight w:val="white"/>
        </w:rPr>
        <w:t>This is accessible via a secure link on the Trust website, also a copy is attached to this report for your information.</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p>
    <w:p w14:paraId="56F6FC36" w14:textId="77777777" w:rsidR="000A02B6" w:rsidRDefault="000A02B6" w:rsidP="000A02B6">
      <w:pPr>
        <w:widowControl w:val="0"/>
        <w:ind w:left="284"/>
        <w:rPr>
          <w:rFonts w:ascii="Calibri" w:eastAsia="Calibri" w:hAnsi="Calibri" w:cs="Calibri"/>
          <w:sz w:val="24"/>
          <w:szCs w:val="24"/>
          <w:highlight w:val="white"/>
        </w:rPr>
      </w:pPr>
    </w:p>
    <w:p w14:paraId="3E0AFC5A" w14:textId="3E1F6F20" w:rsidR="009E3F60" w:rsidRDefault="009E3F60"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4F67EFA7" w14:textId="77777777" w:rsidR="000A02B6" w:rsidRPr="000A02B6" w:rsidRDefault="000A02B6" w:rsidP="000A02B6">
      <w:pPr>
        <w:widowControl w:val="0"/>
        <w:ind w:left="284"/>
        <w:rPr>
          <w:rFonts w:ascii="Calibri" w:eastAsia="Calibri" w:hAnsi="Calibri" w:cs="Calibri"/>
          <w:sz w:val="24"/>
          <w:szCs w:val="24"/>
          <w:highlight w:val="white"/>
        </w:rPr>
      </w:pPr>
    </w:p>
    <w:p w14:paraId="467FE8D4"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3413E894"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7ACE4E41"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579D014F"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3D480A8B"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0FC93DFB" w14:textId="77777777" w:rsidR="009E3F60" w:rsidRPr="00195D96" w:rsidRDefault="009E3F60" w:rsidP="000A02B6">
      <w:pPr>
        <w:shd w:val="clear" w:color="auto" w:fill="FFFFFF"/>
        <w:rPr>
          <w:rFonts w:ascii="Calibri" w:eastAsia="Calibri" w:hAnsi="Calibri" w:cs="Calibri"/>
          <w:color w:val="222222"/>
          <w:sz w:val="24"/>
          <w:szCs w:val="24"/>
        </w:rPr>
      </w:pPr>
    </w:p>
    <w:p w14:paraId="365B849A"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6FFAC72F" w14:textId="77777777" w:rsidR="009E3F60" w:rsidRPr="00195D96" w:rsidRDefault="009E3F60" w:rsidP="000A02B6">
      <w:pPr>
        <w:shd w:val="clear" w:color="auto" w:fill="FFFFFF"/>
        <w:ind w:left="1134" w:hanging="567"/>
        <w:rPr>
          <w:rFonts w:ascii="Calibri" w:eastAsia="Calibri" w:hAnsi="Calibri" w:cs="Calibri"/>
          <w:color w:val="222222"/>
          <w:sz w:val="24"/>
          <w:szCs w:val="24"/>
        </w:rPr>
      </w:pPr>
    </w:p>
    <w:p w14:paraId="02B83B9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9">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7853546A" w14:textId="77777777" w:rsidR="009E3F60" w:rsidRPr="00195D96" w:rsidRDefault="008901BC" w:rsidP="000A02B6">
      <w:pPr>
        <w:widowControl w:val="0"/>
        <w:numPr>
          <w:ilvl w:val="0"/>
          <w:numId w:val="11"/>
        </w:numPr>
        <w:ind w:left="1134" w:hanging="567"/>
        <w:rPr>
          <w:rFonts w:ascii="Calibri" w:eastAsia="Calibri" w:hAnsi="Calibri" w:cs="Calibri"/>
          <w:sz w:val="24"/>
          <w:szCs w:val="24"/>
        </w:rPr>
      </w:pPr>
      <w:hyperlink r:id="rId10" w:anchor=":~:text=Every%20entry%20in%20the%20admission,which%20the%20entry%20was%20made.&amp;text=Schools%20may%20wish%20to%20consider,dates%20they%20attended%20the%20school.">
        <w:r w:rsidR="009E3F60" w:rsidRPr="00195D96">
          <w:rPr>
            <w:rFonts w:ascii="Calibri" w:eastAsia="Calibri" w:hAnsi="Calibri" w:cs="Calibri"/>
            <w:color w:val="0563C1"/>
            <w:sz w:val="24"/>
            <w:szCs w:val="24"/>
            <w:u w:val="single"/>
          </w:rPr>
          <w:t>DfE</w:t>
        </w:r>
      </w:hyperlink>
      <w:r w:rsidR="009E3F60" w:rsidRPr="00195D96">
        <w:rPr>
          <w:rFonts w:ascii="Calibri" w:eastAsia="Calibri" w:hAnsi="Calibri" w:cs="Calibri"/>
          <w:sz w:val="24"/>
          <w:szCs w:val="24"/>
        </w:rPr>
        <w:t xml:space="preserve"> Annual review of school records and safe data destruction checklist</w:t>
      </w:r>
    </w:p>
    <w:p w14:paraId="2FDA5BC6" w14:textId="77777777" w:rsidR="009E3F60" w:rsidRPr="00195D96" w:rsidRDefault="008901BC" w:rsidP="000A02B6">
      <w:pPr>
        <w:widowControl w:val="0"/>
        <w:numPr>
          <w:ilvl w:val="0"/>
          <w:numId w:val="11"/>
        </w:numPr>
        <w:ind w:left="1134" w:hanging="567"/>
        <w:rPr>
          <w:rFonts w:ascii="Calibri" w:eastAsia="Calibri" w:hAnsi="Calibri" w:cs="Calibri"/>
          <w:sz w:val="24"/>
          <w:szCs w:val="24"/>
        </w:rPr>
      </w:pPr>
      <w:hyperlink r:id="rId11">
        <w:r w:rsidR="009E3F60" w:rsidRPr="00195D96">
          <w:rPr>
            <w:rFonts w:ascii="Calibri" w:eastAsia="Calibri" w:hAnsi="Calibri" w:cs="Calibri"/>
            <w:color w:val="0563C1"/>
            <w:sz w:val="24"/>
            <w:szCs w:val="24"/>
            <w:u w:val="single"/>
          </w:rPr>
          <w:t>ICO</w:t>
        </w:r>
      </w:hyperlink>
    </w:p>
    <w:p w14:paraId="71C80B9A"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22721972"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2">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3">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0E46DFB1" w14:textId="77777777" w:rsidR="009E3F60" w:rsidRPr="00195D96" w:rsidRDefault="008901BC" w:rsidP="000A02B6">
      <w:pPr>
        <w:widowControl w:val="0"/>
        <w:numPr>
          <w:ilvl w:val="0"/>
          <w:numId w:val="11"/>
        </w:numPr>
        <w:ind w:left="1134" w:hanging="567"/>
        <w:rPr>
          <w:rFonts w:ascii="Calibri" w:eastAsia="Calibri" w:hAnsi="Calibri" w:cs="Calibri"/>
          <w:sz w:val="24"/>
          <w:szCs w:val="24"/>
        </w:rPr>
      </w:pPr>
      <w:hyperlink r:id="rId14">
        <w:r w:rsidR="009E3F60" w:rsidRPr="00195D96">
          <w:rPr>
            <w:rFonts w:ascii="Calibri" w:eastAsia="Calibri" w:hAnsi="Calibri" w:cs="Calibri"/>
            <w:color w:val="0563C1"/>
            <w:sz w:val="24"/>
            <w:szCs w:val="24"/>
            <w:u w:val="single"/>
          </w:rPr>
          <w:t>Microsoft retention tools</w:t>
        </w:r>
      </w:hyperlink>
    </w:p>
    <w:p w14:paraId="50004265" w14:textId="77777777" w:rsidR="009E3F60" w:rsidRPr="00195D96" w:rsidRDefault="008901BC" w:rsidP="000A02B6">
      <w:pPr>
        <w:widowControl w:val="0"/>
        <w:numPr>
          <w:ilvl w:val="0"/>
          <w:numId w:val="11"/>
        </w:numPr>
        <w:ind w:left="1134" w:hanging="567"/>
        <w:rPr>
          <w:rFonts w:ascii="Calibri" w:eastAsia="Calibri" w:hAnsi="Calibri" w:cs="Calibri"/>
          <w:sz w:val="24"/>
          <w:szCs w:val="24"/>
        </w:rPr>
      </w:pPr>
      <w:hyperlink r:id="rId15">
        <w:r w:rsidR="009E3F60" w:rsidRPr="00195D96">
          <w:rPr>
            <w:rFonts w:ascii="Calibri" w:eastAsia="Calibri" w:hAnsi="Calibri" w:cs="Calibri"/>
            <w:color w:val="0563C1"/>
            <w:sz w:val="24"/>
            <w:szCs w:val="24"/>
            <w:u w:val="single"/>
          </w:rPr>
          <w:t>Google retention tools</w:t>
        </w:r>
      </w:hyperlink>
    </w:p>
    <w:p w14:paraId="201F72D1" w14:textId="77777777" w:rsidR="00353C67" w:rsidRPr="00353C67" w:rsidRDefault="008901BC" w:rsidP="000A02B6">
      <w:pPr>
        <w:widowControl w:val="0"/>
        <w:numPr>
          <w:ilvl w:val="0"/>
          <w:numId w:val="11"/>
        </w:numPr>
        <w:ind w:left="1134" w:hanging="567"/>
        <w:rPr>
          <w:rFonts w:ascii="Calibri" w:eastAsia="Calibri" w:hAnsi="Calibri" w:cs="Calibri"/>
          <w:sz w:val="24"/>
          <w:szCs w:val="24"/>
        </w:rPr>
      </w:pPr>
      <w:hyperlink r:id="rId16" w:history="1">
        <w:r w:rsidR="00353C67" w:rsidRPr="00353C67">
          <w:rPr>
            <w:rStyle w:val="Hyperlink"/>
            <w:rFonts w:ascii="Calibri" w:hAnsi="Calibri" w:cs="Calibri"/>
            <w:sz w:val="24"/>
            <w:szCs w:val="24"/>
          </w:rPr>
          <w:t>How can we bulk delete former students, in line with our school's data retention policy? – Support Documentation (scholarpack.com)</w:t>
        </w:r>
      </w:hyperlink>
    </w:p>
    <w:p w14:paraId="5CFD35EB" w14:textId="4B94A234"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26767509" w14:textId="77777777" w:rsidR="009E3F60" w:rsidRPr="000A02B6" w:rsidRDefault="009E3F60" w:rsidP="000A02B6">
      <w:pPr>
        <w:pStyle w:val="ListParagraph"/>
        <w:ind w:left="284"/>
        <w:rPr>
          <w:bCs/>
        </w:rPr>
      </w:pPr>
    </w:p>
    <w:p w14:paraId="6948EE28" w14:textId="3EB8E1C9" w:rsidR="00086BAB" w:rsidRDefault="000A02B6" w:rsidP="000A02B6">
      <w:pPr>
        <w:rPr>
          <w:rFonts w:ascii="Calibri" w:hAnsi="Calibri" w:cs="Calibri"/>
          <w:sz w:val="24"/>
          <w:szCs w:val="24"/>
        </w:rPr>
      </w:pPr>
      <w:r w:rsidRPr="000A02B6">
        <w:rPr>
          <w:rFonts w:ascii="Calibri" w:hAnsi="Calibri" w:cs="Calibri"/>
          <w:sz w:val="24"/>
          <w:szCs w:val="24"/>
        </w:rPr>
        <w:t>Also attached for your information</w:t>
      </w:r>
      <w:r>
        <w:rPr>
          <w:rFonts w:ascii="Calibri" w:hAnsi="Calibri" w:cs="Calibri"/>
          <w:sz w:val="24"/>
          <w:szCs w:val="24"/>
        </w:rPr>
        <w:t xml:space="preserve"> is</w:t>
      </w:r>
      <w:r w:rsidRPr="000A02B6">
        <w:rPr>
          <w:rFonts w:ascii="Calibri" w:hAnsi="Calibri" w:cs="Calibri"/>
          <w:sz w:val="24"/>
          <w:szCs w:val="24"/>
        </w:rPr>
        <w:t xml:space="preserve"> a Photo &amp; Video Consent Guidance to ensure your consent forms are comprehensive.</w:t>
      </w:r>
    </w:p>
    <w:p w14:paraId="4BE8CB0A" w14:textId="3CC21361" w:rsidR="00086BAB" w:rsidRPr="000A02B6" w:rsidRDefault="00086BAB" w:rsidP="000A02B6">
      <w:pPr>
        <w:rPr>
          <w:rFonts w:ascii="Calibri" w:hAnsi="Calibri" w:cs="Calibri"/>
          <w:sz w:val="24"/>
          <w:szCs w:val="24"/>
        </w:rPr>
      </w:pPr>
    </w:p>
    <w:p w14:paraId="7C6E346B" w14:textId="77777777" w:rsidR="00086BAB" w:rsidRPr="000A02B6" w:rsidRDefault="00086BAB" w:rsidP="000A02B6">
      <w:pPr>
        <w:rPr>
          <w:rFonts w:ascii="Calibri" w:hAnsi="Calibri" w:cs="Calibri"/>
          <w:sz w:val="24"/>
          <w:szCs w:val="24"/>
        </w:rPr>
      </w:pPr>
    </w:p>
    <w:sectPr w:rsidR="00086BAB" w:rsidRPr="000A02B6" w:rsidSect="003A4EC1">
      <w:headerReference w:type="default" r:id="rId17"/>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30A2A" w14:textId="77777777" w:rsidR="008901BC" w:rsidRDefault="008901BC">
      <w:r>
        <w:separator/>
      </w:r>
    </w:p>
  </w:endnote>
  <w:endnote w:type="continuationSeparator" w:id="0">
    <w:p w14:paraId="36585822" w14:textId="77777777" w:rsidR="008901BC" w:rsidRDefault="00890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67826" w14:textId="77777777" w:rsidR="008901BC" w:rsidRDefault="008901BC">
      <w:r>
        <w:separator/>
      </w:r>
    </w:p>
  </w:footnote>
  <w:footnote w:type="continuationSeparator" w:id="0">
    <w:p w14:paraId="04207494" w14:textId="77777777" w:rsidR="008901BC" w:rsidRDefault="00890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6BAB"/>
    <w:rsid w:val="000976E1"/>
    <w:rsid w:val="000A02B6"/>
    <w:rsid w:val="000D13C3"/>
    <w:rsid w:val="00115412"/>
    <w:rsid w:val="0014079B"/>
    <w:rsid w:val="00143F88"/>
    <w:rsid w:val="001516AB"/>
    <w:rsid w:val="001539A7"/>
    <w:rsid w:val="00153D19"/>
    <w:rsid w:val="00166C23"/>
    <w:rsid w:val="00174EC2"/>
    <w:rsid w:val="00175BB5"/>
    <w:rsid w:val="00266994"/>
    <w:rsid w:val="00276372"/>
    <w:rsid w:val="00292C06"/>
    <w:rsid w:val="002A0411"/>
    <w:rsid w:val="002A53A0"/>
    <w:rsid w:val="00315755"/>
    <w:rsid w:val="00333DDA"/>
    <w:rsid w:val="00340C4D"/>
    <w:rsid w:val="00347154"/>
    <w:rsid w:val="00351383"/>
    <w:rsid w:val="00353C67"/>
    <w:rsid w:val="003A4EC1"/>
    <w:rsid w:val="003C62DA"/>
    <w:rsid w:val="003E6F68"/>
    <w:rsid w:val="00411A4D"/>
    <w:rsid w:val="0045040A"/>
    <w:rsid w:val="00450E56"/>
    <w:rsid w:val="004629AC"/>
    <w:rsid w:val="004A1431"/>
    <w:rsid w:val="004C0D08"/>
    <w:rsid w:val="004D0F1E"/>
    <w:rsid w:val="004D4F0E"/>
    <w:rsid w:val="004E65BF"/>
    <w:rsid w:val="005147B4"/>
    <w:rsid w:val="00520960"/>
    <w:rsid w:val="00522D4C"/>
    <w:rsid w:val="006257E4"/>
    <w:rsid w:val="0066507E"/>
    <w:rsid w:val="00676788"/>
    <w:rsid w:val="0067786A"/>
    <w:rsid w:val="006B050A"/>
    <w:rsid w:val="006C413E"/>
    <w:rsid w:val="0071040B"/>
    <w:rsid w:val="007801F4"/>
    <w:rsid w:val="00780D33"/>
    <w:rsid w:val="0078725E"/>
    <w:rsid w:val="00801F1C"/>
    <w:rsid w:val="008901BC"/>
    <w:rsid w:val="009856C6"/>
    <w:rsid w:val="009B2747"/>
    <w:rsid w:val="009E3ADE"/>
    <w:rsid w:val="009E3F60"/>
    <w:rsid w:val="009F2B0D"/>
    <w:rsid w:val="00A37865"/>
    <w:rsid w:val="00A47795"/>
    <w:rsid w:val="00AA19F8"/>
    <w:rsid w:val="00AA1C15"/>
    <w:rsid w:val="00AE01D7"/>
    <w:rsid w:val="00AF052A"/>
    <w:rsid w:val="00B13311"/>
    <w:rsid w:val="00B75E23"/>
    <w:rsid w:val="00BD08B2"/>
    <w:rsid w:val="00BD58BD"/>
    <w:rsid w:val="00BE6EF2"/>
    <w:rsid w:val="00BF73DF"/>
    <w:rsid w:val="00C0158A"/>
    <w:rsid w:val="00C103F0"/>
    <w:rsid w:val="00C4206C"/>
    <w:rsid w:val="00C82E0E"/>
    <w:rsid w:val="00CA53C2"/>
    <w:rsid w:val="00D04056"/>
    <w:rsid w:val="00D44522"/>
    <w:rsid w:val="00D53D4A"/>
    <w:rsid w:val="00D74D3E"/>
    <w:rsid w:val="00D968FC"/>
    <w:rsid w:val="00DA25BF"/>
    <w:rsid w:val="00DA2C49"/>
    <w:rsid w:val="00DA5FC0"/>
    <w:rsid w:val="00DC4E5E"/>
    <w:rsid w:val="00E25125"/>
    <w:rsid w:val="00E46A3E"/>
    <w:rsid w:val="00E83926"/>
    <w:rsid w:val="00E96A2F"/>
    <w:rsid w:val="00EA423A"/>
    <w:rsid w:val="00EF107F"/>
    <w:rsid w:val="00F42F68"/>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scholarpack.com/hc/en-gb/articles/4409691222289-How-can-we-bulk-delete-former-students-in-line-with-our-school-s-data-retention-poli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5</cp:revision>
  <dcterms:created xsi:type="dcterms:W3CDTF">2022-02-22T10:41:00Z</dcterms:created>
  <dcterms:modified xsi:type="dcterms:W3CDTF">2022-02-22T12:00:00Z</dcterms:modified>
</cp:coreProperties>
</file>