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Caister Primary Federation (Incl: Junior school audit walk)                                                                          Date: </w:t>
      </w:r>
      <w:r w:rsidDel="00000000" w:rsidR="00000000" w:rsidRPr="00000000">
        <w:rPr>
          <w:rFonts w:ascii="Calibri" w:cs="Calibri" w:eastAsia="Calibri" w:hAnsi="Calibri"/>
          <w:b w:val="0"/>
          <w:color w:val="4bacc6"/>
          <w:sz w:val="30"/>
          <w:szCs w:val="30"/>
          <w:rtl w:val="0"/>
        </w:rPr>
        <w:t xml:space="preserve">09/02/2022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Onsite consultation</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sz w:val="30"/>
          <w:szCs w:val="30"/>
        </w:rPr>
      </w:pPr>
      <w:r w:rsidDel="00000000" w:rsidR="00000000" w:rsidRPr="00000000">
        <w:rPr>
          <w:rFonts w:ascii="Calibri" w:cs="Calibri" w:eastAsia="Calibri" w:hAnsi="Calibri"/>
          <w:b w:val="1"/>
          <w:color w:val="0591b4"/>
          <w:sz w:val="30"/>
          <w:szCs w:val="30"/>
          <w:rtl w:val="0"/>
        </w:rPr>
        <w:t xml:space="preserve">DPE: </w:t>
      </w:r>
      <w:r w:rsidDel="00000000" w:rsidR="00000000" w:rsidRPr="00000000">
        <w:rPr>
          <w:rFonts w:ascii="Calibri" w:cs="Calibri" w:eastAsia="Calibri" w:hAnsi="Calibri"/>
          <w:color w:val="0591b4"/>
          <w:sz w:val="30"/>
          <w:szCs w:val="30"/>
          <w:rtl w:val="0"/>
        </w:rPr>
        <w:t xml:space="preserve">Stuart Lee                               </w:t>
      </w:r>
      <w:r w:rsidDel="00000000" w:rsidR="00000000" w:rsidRPr="00000000">
        <w:rPr>
          <w:rFonts w:ascii="Calibri" w:cs="Calibri" w:eastAsia="Calibri" w:hAnsi="Calibri"/>
          <w:b w:val="1"/>
          <w:color w:val="0591b4"/>
          <w:sz w:val="30"/>
          <w:szCs w:val="30"/>
          <w:rtl w:val="0"/>
        </w:rPr>
        <w:t xml:space="preserve"> Staff member:</w:t>
      </w:r>
      <w:r w:rsidDel="00000000" w:rsidR="00000000" w:rsidRPr="00000000">
        <w:rPr>
          <w:rFonts w:ascii="Calibri" w:cs="Calibri" w:eastAsia="Calibri" w:hAnsi="Calibri"/>
          <w:color w:val="0591b4"/>
          <w:sz w:val="30"/>
          <w:szCs w:val="30"/>
          <w:rtl w:val="0"/>
        </w:rPr>
        <w:t xml:space="preserve"> Andrea Dix</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visit included discussions for different areas of data protection to be aware of and an audit walk of Caister Junior school. The report is broken down into the following sections with best practice and supporting information included:</w:t>
      </w:r>
    </w:p>
    <w:p w:rsidR="00000000" w:rsidDel="00000000" w:rsidP="00000000" w:rsidRDefault="00000000" w:rsidRPr="00000000" w14:paraId="00000006">
      <w:pPr>
        <w:numPr>
          <w:ilvl w:val="0"/>
          <w:numId w:val="8"/>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Caister Junior audit walk and raising staff awareness </w:t>
      </w:r>
    </w:p>
    <w:p w:rsidR="00000000" w:rsidDel="00000000" w:rsidP="00000000" w:rsidRDefault="00000000" w:rsidRPr="00000000" w14:paraId="00000007">
      <w:pPr>
        <w:numPr>
          <w:ilvl w:val="0"/>
          <w:numId w:val="8"/>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Information security and e-learning training</w:t>
      </w:r>
    </w:p>
    <w:p w:rsidR="00000000" w:rsidDel="00000000" w:rsidP="00000000" w:rsidRDefault="00000000" w:rsidRPr="00000000" w14:paraId="00000008">
      <w:pPr>
        <w:numPr>
          <w:ilvl w:val="0"/>
          <w:numId w:val="8"/>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Review of GDPR status, compliance documents; website and internal documentation</w:t>
      </w:r>
    </w:p>
    <w:p w:rsidR="00000000" w:rsidDel="00000000" w:rsidP="00000000" w:rsidRDefault="00000000" w:rsidRPr="00000000" w14:paraId="00000009">
      <w:pPr>
        <w:numPr>
          <w:ilvl w:val="0"/>
          <w:numId w:val="8"/>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Supplier due diligence </w:t>
      </w:r>
    </w:p>
    <w:p w:rsidR="00000000" w:rsidDel="00000000" w:rsidP="00000000" w:rsidRDefault="00000000" w:rsidRPr="00000000" w14:paraId="0000000A">
      <w:pPr>
        <w:numPr>
          <w:ilvl w:val="0"/>
          <w:numId w:val="8"/>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Data retention best practice and tips</w:t>
      </w:r>
      <w:r w:rsidDel="00000000" w:rsidR="00000000" w:rsidRPr="00000000">
        <w:rPr>
          <w:rtl w:val="0"/>
        </w:rPr>
      </w:r>
    </w:p>
    <w:p w:rsidR="00000000" w:rsidDel="00000000" w:rsidP="00000000" w:rsidRDefault="00000000" w:rsidRPr="00000000" w14:paraId="0000000B">
      <w:pPr>
        <w:shd w:fill="ffffff" w:val="clear"/>
        <w:ind w:left="720" w:firstLine="0"/>
        <w:rPr>
          <w:rFonts w:ascii="Calibri" w:cs="Calibri" w:eastAsia="Calibri" w:hAnsi="Calibri"/>
          <w:b w:val="1"/>
          <w:color w:val="0591b4"/>
          <w:sz w:val="24"/>
          <w:szCs w:val="24"/>
          <w:highlight w:val="white"/>
        </w:rPr>
      </w:pPr>
      <w:r w:rsidDel="00000000" w:rsidR="00000000" w:rsidRPr="00000000">
        <w:rPr>
          <w:rtl w:val="0"/>
        </w:rPr>
      </w:r>
    </w:p>
    <w:p w:rsidR="00000000" w:rsidDel="00000000" w:rsidP="00000000" w:rsidRDefault="00000000" w:rsidRPr="00000000" w14:paraId="0000000C">
      <w:pPr>
        <w:numPr>
          <w:ilvl w:val="0"/>
          <w:numId w:val="5"/>
        </w:numPr>
        <w:shd w:fill="ffffff" w:val="clear"/>
        <w:ind w:left="720" w:hanging="360"/>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Audit walk and raising staff awareness </w:t>
      </w:r>
    </w:p>
    <w:p w:rsidR="00000000" w:rsidDel="00000000" w:rsidP="00000000" w:rsidRDefault="00000000" w:rsidRPr="00000000" w14:paraId="0000000D">
      <w:pPr>
        <w:shd w:fill="ffffff"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An audit walk was completed at Caister Junior school. Discussion took place with the IT manager who confirmed that the school had completed awareness sessions regarding information security. 2-factor authentication has been rolled out and the school was  moving to a ‘fob’ door access system which would remove the need for paper sign-in for staff. Discussions with the headteacher and front office staff also confirmed good practice with data handling and physical security. Offices where sensitive data is handled have privacy glass and adequate secure storage. Photocopiers have codes and a shredder is used for confidential waste. Minimal data was on display in classrooms.</w:t>
      </w:r>
    </w:p>
    <w:p w:rsidR="00000000" w:rsidDel="00000000" w:rsidP="00000000" w:rsidRDefault="00000000" w:rsidRPr="00000000" w14:paraId="0000000E">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F">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Observations from the walk:</w:t>
      </w:r>
    </w:p>
    <w:p w:rsidR="00000000" w:rsidDel="00000000" w:rsidP="00000000" w:rsidRDefault="00000000" w:rsidRPr="00000000" w14:paraId="00000010">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Open staff sign in books observed: </w:t>
      </w:r>
      <w:r w:rsidDel="00000000" w:rsidR="00000000" w:rsidRPr="00000000">
        <w:rPr>
          <w:rFonts w:ascii="Calibri" w:cs="Calibri" w:eastAsia="Calibri" w:hAnsi="Calibri"/>
          <w:sz w:val="24"/>
          <w:szCs w:val="24"/>
          <w:highlight w:val="white"/>
          <w:rtl w:val="0"/>
        </w:rPr>
        <w:t xml:space="preserve">The school was aware of the closed book system and will be moving to a fob based sign in system that will make the current system redundant.</w:t>
      </w:r>
    </w:p>
    <w:p w:rsidR="00000000" w:rsidDel="00000000" w:rsidP="00000000" w:rsidRDefault="00000000" w:rsidRPr="00000000" w14:paraId="00000011">
      <w:pPr>
        <w:shd w:fill="ffffff" w:val="clear"/>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14:paraId="00000012">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Medical/SEND book in each classroom: </w:t>
      </w:r>
      <w:r w:rsidDel="00000000" w:rsidR="00000000" w:rsidRPr="00000000">
        <w:rPr>
          <w:rFonts w:ascii="Calibri" w:cs="Calibri" w:eastAsia="Calibri" w:hAnsi="Calibri"/>
          <w:sz w:val="24"/>
          <w:szCs w:val="24"/>
          <w:highlight w:val="white"/>
          <w:rtl w:val="0"/>
        </w:rPr>
        <w:t xml:space="preserve">Discussed the use of medical books with the school (including HT). The school will review and identify if they can move to an electronic live system for medical information without compromising the health and safety of students. Until the system changes and/or if keeping with physical folders, the school will remind staff to  place the folder in to secure storage/cupboards at the end of the school day. </w:t>
      </w:r>
    </w:p>
    <w:p w:rsidR="00000000" w:rsidDel="00000000" w:rsidP="00000000" w:rsidRDefault="00000000" w:rsidRPr="00000000" w14:paraId="00000013">
      <w:pP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Raising awareness:</w:t>
      </w:r>
    </w:p>
    <w:p w:rsidR="00000000" w:rsidDel="00000000" w:rsidP="00000000" w:rsidRDefault="00000000" w:rsidRPr="00000000" w14:paraId="00000015">
      <w:pPr>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Consider using staff briefings and having a monthly focus i.e. clear desks and locking laptops etc. This is   an ideal way to raise awareness and keep staff focused with the latest data protection issues. </w:t>
      </w:r>
    </w:p>
    <w:p w:rsidR="00000000" w:rsidDel="00000000" w:rsidP="00000000" w:rsidRDefault="00000000" w:rsidRPr="00000000" w14:paraId="00000016">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7">
      <w:pPr>
        <w:numPr>
          <w:ilvl w:val="0"/>
          <w:numId w:val="5"/>
        </w:numPr>
        <w:shd w:fill="ffffff" w:val="clear"/>
        <w:ind w:left="720" w:hanging="360"/>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Information security and e-learning training </w:t>
      </w:r>
      <w:r w:rsidDel="00000000" w:rsidR="00000000" w:rsidRPr="00000000">
        <w:rPr>
          <w:rtl w:val="0"/>
        </w:rPr>
      </w:r>
    </w:p>
    <w:p w:rsidR="00000000" w:rsidDel="00000000" w:rsidP="00000000" w:rsidRDefault="00000000" w:rsidRPr="00000000" w14:paraId="00000018">
      <w:pPr>
        <w:shd w:fill="ffffff" w:val="clear"/>
        <w:jc w:val="both"/>
        <w:rPr>
          <w:rFonts w:ascii="Calibri" w:cs="Calibri" w:eastAsia="Calibri" w:hAnsi="Calibri"/>
          <w:color w:val="222222"/>
          <w:sz w:val="24"/>
          <w:szCs w:val="24"/>
          <w:highlight w:val="white"/>
        </w:rPr>
      </w:pPr>
      <w:r w:rsidDel="00000000" w:rsidR="00000000" w:rsidRPr="00000000">
        <w:rPr>
          <w:rtl w:val="0"/>
        </w:rPr>
      </w:r>
    </w:p>
    <w:p w:rsidR="00000000" w:rsidDel="00000000" w:rsidP="00000000" w:rsidRDefault="00000000" w:rsidRPr="00000000" w14:paraId="00000019">
      <w:pPr>
        <w:shd w:fill="ffffff" w:val="clear"/>
        <w:jc w:val="both"/>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DPE have a number of resources for information security: </w:t>
      </w:r>
      <w:hyperlink r:id="rId6">
        <w:r w:rsidDel="00000000" w:rsidR="00000000" w:rsidRPr="00000000">
          <w:rPr>
            <w:rFonts w:ascii="Calibri" w:cs="Calibri" w:eastAsia="Calibri" w:hAnsi="Calibri"/>
            <w:color w:val="1155cc"/>
            <w:sz w:val="24"/>
            <w:szCs w:val="24"/>
            <w:highlight w:val="white"/>
            <w:u w:val="single"/>
            <w:rtl w:val="0"/>
          </w:rPr>
          <w:t xml:space="preserve">https://dataprotection.education/best-practice-library/documents/information-technology-security</w:t>
        </w:r>
      </w:hyperlink>
      <w:r w:rsidDel="00000000" w:rsidR="00000000" w:rsidRPr="00000000">
        <w:rPr>
          <w:rFonts w:ascii="Calibri" w:cs="Calibri" w:eastAsia="Calibri" w:hAnsi="Calibri"/>
          <w:color w:val="222222"/>
          <w:sz w:val="24"/>
          <w:szCs w:val="24"/>
          <w:highlight w:val="white"/>
          <w:rtl w:val="0"/>
        </w:rPr>
        <w:t xml:space="preserve"> </w:t>
      </w:r>
    </w:p>
    <w:p w:rsidR="00000000" w:rsidDel="00000000" w:rsidP="00000000" w:rsidRDefault="00000000" w:rsidRPr="00000000" w14:paraId="0000001A">
      <w:pPr>
        <w:shd w:fill="ffffff" w:val="clear"/>
        <w:jc w:val="both"/>
        <w:rPr>
          <w:rFonts w:ascii="Calibri" w:cs="Calibri" w:eastAsia="Calibri" w:hAnsi="Calibri"/>
          <w:color w:val="222222"/>
          <w:sz w:val="24"/>
          <w:szCs w:val="24"/>
          <w:highlight w:val="white"/>
        </w:rPr>
      </w:pPr>
      <w:r w:rsidDel="00000000" w:rsidR="00000000" w:rsidRPr="00000000">
        <w:rPr>
          <w:rtl w:val="0"/>
        </w:rPr>
      </w:r>
    </w:p>
    <w:p w:rsidR="00000000" w:rsidDel="00000000" w:rsidP="00000000" w:rsidRDefault="00000000" w:rsidRPr="00000000" w14:paraId="0000001B">
      <w:pPr>
        <w:shd w:fill="ffffff" w:val="clear"/>
        <w:jc w:val="both"/>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If not already, all staff should complete the </w:t>
      </w:r>
      <w:r w:rsidDel="00000000" w:rsidR="00000000" w:rsidRPr="00000000">
        <w:rPr>
          <w:rFonts w:ascii="Calibri" w:cs="Calibri" w:eastAsia="Calibri" w:hAnsi="Calibri"/>
          <w:b w:val="1"/>
          <w:color w:val="222222"/>
          <w:sz w:val="24"/>
          <w:szCs w:val="24"/>
          <w:highlight w:val="white"/>
          <w:rtl w:val="0"/>
        </w:rPr>
        <w:t xml:space="preserve">Stay Safe online NCSC training</w:t>
      </w:r>
      <w:r w:rsidDel="00000000" w:rsidR="00000000" w:rsidRPr="00000000">
        <w:rPr>
          <w:rFonts w:ascii="Calibri" w:cs="Calibri" w:eastAsia="Calibri" w:hAnsi="Calibri"/>
          <w:color w:val="222222"/>
          <w:sz w:val="24"/>
          <w:szCs w:val="24"/>
          <w:highlight w:val="white"/>
          <w:rtl w:val="0"/>
        </w:rPr>
        <w:t xml:space="preserve">. This is not only beneficial for the organisation but also for staff when accessing personal information online i.e. personal banking: </w:t>
      </w:r>
      <w:hyperlink r:id="rId7">
        <w:r w:rsidDel="00000000" w:rsidR="00000000" w:rsidRPr="00000000">
          <w:rPr>
            <w:rFonts w:ascii="Calibri" w:cs="Calibri" w:eastAsia="Calibri" w:hAnsi="Calibri"/>
            <w:color w:val="1155cc"/>
            <w:sz w:val="24"/>
            <w:szCs w:val="24"/>
            <w:highlight w:val="white"/>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highlight w:val="white"/>
          <w:rtl w:val="0"/>
        </w:rPr>
        <w:t xml:space="preserve"> </w:t>
      </w:r>
    </w:p>
    <w:p w:rsidR="00000000" w:rsidDel="00000000" w:rsidP="00000000" w:rsidRDefault="00000000" w:rsidRPr="00000000" w14:paraId="0000001C">
      <w:pPr>
        <w:shd w:fill="ffffff" w:val="clear"/>
        <w:jc w:val="both"/>
        <w:rPr>
          <w:rFonts w:ascii="Calibri" w:cs="Calibri" w:eastAsia="Calibri" w:hAnsi="Calibri"/>
          <w:color w:val="222222"/>
          <w:sz w:val="24"/>
          <w:szCs w:val="24"/>
          <w:highlight w:val="white"/>
        </w:rPr>
      </w:pPr>
      <w:r w:rsidDel="00000000" w:rsidR="00000000" w:rsidRPr="00000000">
        <w:rPr>
          <w:rtl w:val="0"/>
        </w:rPr>
      </w:r>
    </w:p>
    <w:p w:rsidR="00000000" w:rsidDel="00000000" w:rsidP="00000000" w:rsidRDefault="00000000" w:rsidRPr="00000000" w14:paraId="0000001D">
      <w:pPr>
        <w:shd w:fill="ffffff" w:val="clear"/>
        <w:jc w:val="both"/>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In addition, you can check out the National Cyber Security Centre website: </w:t>
      </w:r>
      <w:hyperlink r:id="rId8">
        <w:r w:rsidDel="00000000" w:rsidR="00000000" w:rsidRPr="00000000">
          <w:rPr>
            <w:rFonts w:ascii="Calibri" w:cs="Calibri" w:eastAsia="Calibri" w:hAnsi="Calibri"/>
            <w:color w:val="1155cc"/>
            <w:sz w:val="24"/>
            <w:szCs w:val="24"/>
            <w:highlight w:val="white"/>
            <w:u w:val="single"/>
            <w:rtl w:val="0"/>
          </w:rPr>
          <w:t xml:space="preserve">ncsc.gov.uk</w:t>
        </w:r>
      </w:hyperlink>
      <w:r w:rsidDel="00000000" w:rsidR="00000000" w:rsidRPr="00000000">
        <w:rPr>
          <w:rFonts w:ascii="Calibri" w:cs="Calibri" w:eastAsia="Calibri" w:hAnsi="Calibri"/>
          <w:color w:val="222222"/>
          <w:sz w:val="24"/>
          <w:szCs w:val="24"/>
          <w:highlight w:val="white"/>
          <w:rtl w:val="0"/>
        </w:rPr>
        <w:t xml:space="preserve"> which has useful resources and tips for schools regarding cyber security:</w:t>
      </w:r>
    </w:p>
    <w:p w:rsidR="00000000" w:rsidDel="00000000" w:rsidP="00000000" w:rsidRDefault="00000000" w:rsidRPr="00000000" w14:paraId="0000001E">
      <w:pPr>
        <w:numPr>
          <w:ilvl w:val="0"/>
          <w:numId w:val="2"/>
        </w:numPr>
        <w:spacing w:after="0" w:afterAutospacing="0" w:before="200" w:lineRule="auto"/>
        <w:ind w:left="940" w:hanging="360"/>
        <w:rPr>
          <w:rFonts w:ascii="Calibri" w:cs="Calibri" w:eastAsia="Calibri" w:hAnsi="Calibri"/>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School resources:</w:t>
      </w:r>
      <w:r w:rsidDel="00000000" w:rsidR="00000000" w:rsidRPr="00000000">
        <w:rPr>
          <w:rFonts w:ascii="Calibri" w:cs="Calibri" w:eastAsia="Calibri" w:hAnsi="Calibri"/>
          <w:color w:val="222222"/>
          <w:sz w:val="24"/>
          <w:szCs w:val="24"/>
          <w:highlight w:val="white"/>
          <w:rtl w:val="0"/>
        </w:rPr>
        <w:t xml:space="preserve"> </w:t>
      </w:r>
      <w:hyperlink r:id="rId9">
        <w:r w:rsidDel="00000000" w:rsidR="00000000" w:rsidRPr="00000000">
          <w:rPr>
            <w:rFonts w:ascii="Calibri" w:cs="Calibri" w:eastAsia="Calibri" w:hAnsi="Calibri"/>
            <w:color w:val="1155cc"/>
            <w:sz w:val="24"/>
            <w:szCs w:val="24"/>
            <w:highlight w:val="white"/>
            <w:u w:val="single"/>
            <w:rtl w:val="0"/>
          </w:rPr>
          <w:t xml:space="preserve">https://www.ncsc.gov.uk/section/education-skills/schools</w:t>
        </w:r>
      </w:hyperlink>
      <w:r w:rsidDel="00000000" w:rsidR="00000000" w:rsidRPr="00000000">
        <w:rPr>
          <w:rFonts w:ascii="Calibri" w:cs="Calibri" w:eastAsia="Calibri" w:hAnsi="Calibri"/>
          <w:color w:val="222222"/>
          <w:sz w:val="24"/>
          <w:szCs w:val="24"/>
          <w:highlight w:val="white"/>
          <w:rtl w:val="0"/>
        </w:rPr>
        <w:t xml:space="preserve"> </w:t>
      </w:r>
    </w:p>
    <w:p w:rsidR="00000000" w:rsidDel="00000000" w:rsidP="00000000" w:rsidRDefault="00000000" w:rsidRPr="00000000" w14:paraId="0000001F">
      <w:pPr>
        <w:numPr>
          <w:ilvl w:val="0"/>
          <w:numId w:val="2"/>
        </w:numPr>
        <w:spacing w:after="200" w:before="0" w:beforeAutospacing="0" w:lineRule="auto"/>
        <w:ind w:left="940" w:hanging="360"/>
        <w:rPr>
          <w:rFonts w:ascii="Calibri" w:cs="Calibri" w:eastAsia="Calibri" w:hAnsi="Calibri"/>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Governor Qs for schools:</w:t>
      </w:r>
      <w:r w:rsidDel="00000000" w:rsidR="00000000" w:rsidRPr="00000000">
        <w:rPr>
          <w:rFonts w:ascii="Calibri" w:cs="Calibri" w:eastAsia="Calibri" w:hAnsi="Calibri"/>
          <w:color w:val="222222"/>
          <w:sz w:val="24"/>
          <w:szCs w:val="24"/>
          <w:highlight w:val="white"/>
          <w:rtl w:val="0"/>
        </w:rPr>
        <w:t xml:space="preserve"> </w:t>
      </w:r>
      <w:hyperlink r:id="rId10">
        <w:r w:rsidDel="00000000" w:rsidR="00000000" w:rsidRPr="00000000">
          <w:rPr>
            <w:rFonts w:ascii="Calibri" w:cs="Calibri" w:eastAsia="Calibri" w:hAnsi="Calibri"/>
            <w:color w:val="1155cc"/>
            <w:sz w:val="24"/>
            <w:szCs w:val="24"/>
            <w:highlight w:val="white"/>
            <w:u w:val="single"/>
            <w:rtl w:val="0"/>
          </w:rPr>
          <w:t xml:space="preserve">https://www.ncsc.gov.uk/information/school-governor-questions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0">
      <w:pPr>
        <w:spacing w:after="200" w:before="200" w:lineRule="auto"/>
        <w:ind w:left="0" w:firstLine="0"/>
        <w:rPr>
          <w:rFonts w:ascii="Calibri" w:cs="Calibri" w:eastAsia="Calibri" w:hAnsi="Calibri"/>
          <w:sz w:val="24"/>
          <w:szCs w:val="24"/>
          <w:highlight w:val="white"/>
        </w:rPr>
      </w:pPr>
      <w:hyperlink r:id="rId11">
        <w:r w:rsidDel="00000000" w:rsidR="00000000" w:rsidRPr="00000000">
          <w:rPr>
            <w:rFonts w:ascii="Calibri" w:cs="Calibri" w:eastAsia="Calibri" w:hAnsi="Calibri"/>
            <w:b w:val="1"/>
            <w:sz w:val="24"/>
            <w:szCs w:val="24"/>
            <w:highlight w:val="white"/>
            <w:rtl w:val="0"/>
          </w:rPr>
          <w:t xml:space="preserve">GDPR refresh training should be completed at least every 2 years and GDPR training should be part of the induction process for new staff.</w:t>
        </w:r>
      </w:hyperlink>
      <w:r w:rsidDel="00000000" w:rsidR="00000000" w:rsidRPr="00000000">
        <w:rPr>
          <w:rtl w:val="0"/>
        </w:rPr>
      </w:r>
    </w:p>
    <w:p w:rsidR="00000000" w:rsidDel="00000000" w:rsidP="00000000" w:rsidRDefault="00000000" w:rsidRPr="00000000" w14:paraId="00000021">
      <w:pPr>
        <w:numPr>
          <w:ilvl w:val="0"/>
          <w:numId w:val="5"/>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Review of GDPR status, compliance documents, website and internal documentation  </w:t>
      </w:r>
    </w:p>
    <w:p w:rsidR="00000000" w:rsidDel="00000000" w:rsidP="00000000" w:rsidRDefault="00000000" w:rsidRPr="00000000" w14:paraId="00000022">
      <w:pPr>
        <w:ind w:left="0" w:firstLine="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By now you should have all of your main updated compliance documents and consider having a GDPR section on the organisation website,  including the following documents:</w:t>
      </w:r>
    </w:p>
    <w:p w:rsidR="00000000" w:rsidDel="00000000" w:rsidP="00000000" w:rsidRDefault="00000000" w:rsidRPr="00000000" w14:paraId="00000023">
      <w:pPr>
        <w:ind w:left="0" w:firstLine="0"/>
        <w:jc w:val="both"/>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14:paraId="00000024">
      <w:pPr>
        <w:ind w:left="0" w:firstLine="0"/>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Website documents:</w:t>
      </w:r>
    </w:p>
    <w:p w:rsidR="00000000" w:rsidDel="00000000" w:rsidP="00000000" w:rsidRDefault="00000000" w:rsidRPr="00000000" w14:paraId="00000025">
      <w:pPr>
        <w:numPr>
          <w:ilvl w:val="0"/>
          <w:numId w:val="6"/>
        </w:numPr>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GDPR policy</w:t>
      </w:r>
    </w:p>
    <w:p w:rsidR="00000000" w:rsidDel="00000000" w:rsidP="00000000" w:rsidRDefault="00000000" w:rsidRPr="00000000" w14:paraId="00000026">
      <w:pPr>
        <w:numPr>
          <w:ilvl w:val="0"/>
          <w:numId w:val="6"/>
        </w:numPr>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notice(s)</w:t>
      </w:r>
    </w:p>
    <w:p w:rsidR="00000000" w:rsidDel="00000000" w:rsidP="00000000" w:rsidRDefault="00000000" w:rsidRPr="00000000" w14:paraId="00000027">
      <w:pPr>
        <w:numPr>
          <w:ilvl w:val="0"/>
          <w:numId w:val="6"/>
        </w:numPr>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SAR and data breach procedure</w:t>
      </w:r>
    </w:p>
    <w:p w:rsidR="00000000" w:rsidDel="00000000" w:rsidP="00000000" w:rsidRDefault="00000000" w:rsidRPr="00000000" w14:paraId="00000028">
      <w:pPr>
        <w:numPr>
          <w:ilvl w:val="0"/>
          <w:numId w:val="6"/>
        </w:numPr>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FOI and publication scheme</w:t>
      </w:r>
    </w:p>
    <w:p w:rsidR="00000000" w:rsidDel="00000000" w:rsidP="00000000" w:rsidRDefault="00000000" w:rsidRPr="00000000" w14:paraId="00000029">
      <w:pPr>
        <w:numPr>
          <w:ilvl w:val="0"/>
          <w:numId w:val="6"/>
        </w:numPr>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Supplier/third party list</w:t>
      </w:r>
    </w:p>
    <w:p w:rsidR="00000000" w:rsidDel="00000000" w:rsidP="00000000" w:rsidRDefault="00000000" w:rsidRPr="00000000" w14:paraId="0000002A">
      <w:pPr>
        <w:ind w:left="0" w:firstLine="0"/>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B">
      <w:pPr>
        <w:ind w:left="0" w:firstLine="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 school that can be referenced with a GDPR layout is: </w:t>
      </w:r>
      <w:hyperlink r:id="rId12">
        <w:r w:rsidDel="00000000" w:rsidR="00000000" w:rsidRPr="00000000">
          <w:rPr>
            <w:rFonts w:ascii="Calibri" w:cs="Calibri" w:eastAsia="Calibri" w:hAnsi="Calibri"/>
            <w:color w:val="1155cc"/>
            <w:sz w:val="24"/>
            <w:szCs w:val="24"/>
            <w:highlight w:val="white"/>
            <w:u w:val="single"/>
            <w:rtl w:val="0"/>
          </w:rPr>
          <w:t xml:space="preserve">https://www.trowseprimaryschool.co.uk/key-information/gdpr</w:t>
        </w:r>
      </w:hyperlink>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2C">
      <w:pPr>
        <w:ind w:left="0" w:firstLine="0"/>
        <w:jc w:val="both"/>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14:paraId="0000002D">
      <w:pPr>
        <w:ind w:left="0" w:firstLine="0"/>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Other useful documents to review and check that you have are:</w:t>
      </w:r>
    </w:p>
    <w:p w:rsidR="00000000" w:rsidDel="00000000" w:rsidP="00000000" w:rsidRDefault="00000000" w:rsidRPr="00000000" w14:paraId="0000002E">
      <w:pPr>
        <w:numPr>
          <w:ilvl w:val="0"/>
          <w:numId w:val="4"/>
        </w:numPr>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Work away from school policy </w:t>
      </w:r>
    </w:p>
    <w:p w:rsidR="00000000" w:rsidDel="00000000" w:rsidP="00000000" w:rsidRDefault="00000000" w:rsidRPr="00000000" w14:paraId="0000002F">
      <w:pPr>
        <w:numPr>
          <w:ilvl w:val="0"/>
          <w:numId w:val="4"/>
        </w:numPr>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Review of consent documentation</w:t>
      </w:r>
      <w:r w:rsidDel="00000000" w:rsidR="00000000" w:rsidRPr="00000000">
        <w:rPr>
          <w:rFonts w:ascii="Calibri" w:cs="Calibri" w:eastAsia="Calibri" w:hAnsi="Calibri"/>
          <w:sz w:val="24"/>
          <w:szCs w:val="24"/>
          <w:highlight w:val="white"/>
          <w:rtl w:val="0"/>
        </w:rPr>
        <w:t xml:space="preserve">. Consent guidance and consent withdrawal can also be added to the GDPR section of the school website</w:t>
      </w:r>
    </w:p>
    <w:p w:rsidR="00000000" w:rsidDel="00000000" w:rsidP="00000000" w:rsidRDefault="00000000" w:rsidRPr="00000000" w14:paraId="00000030">
      <w:pP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1">
      <w:pPr>
        <w:numPr>
          <w:ilvl w:val="0"/>
          <w:numId w:val="5"/>
        </w:numPr>
        <w:shd w:fill="ffffff" w:val="clear"/>
        <w:ind w:left="720" w:hanging="360"/>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Supplier due diligence </w:t>
      </w:r>
    </w:p>
    <w:p w:rsidR="00000000" w:rsidDel="00000000" w:rsidP="00000000" w:rsidRDefault="00000000" w:rsidRPr="00000000" w14:paraId="00000032">
      <w:pPr>
        <w:shd w:fill="ffffff" w:val="clear"/>
        <w:rPr>
          <w:rFonts w:ascii="Calibri" w:cs="Calibri" w:eastAsia="Calibri" w:hAnsi="Calibri"/>
          <w:sz w:val="24"/>
          <w:szCs w:val="24"/>
          <w:highlight w:val="white"/>
        </w:rPr>
      </w:pPr>
      <w:r w:rsidDel="00000000" w:rsidR="00000000" w:rsidRPr="00000000">
        <w:rPr>
          <w:rFonts w:ascii="Calibri" w:cs="Calibri" w:eastAsia="Calibri" w:hAnsi="Calibri"/>
          <w:color w:val="4a4a4a"/>
          <w:sz w:val="24"/>
          <w:szCs w:val="24"/>
          <w:highlight w:val="white"/>
          <w:rtl w:val="0"/>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r w:rsidDel="00000000" w:rsidR="00000000" w:rsidRPr="00000000">
        <w:rPr>
          <w:rtl w:val="0"/>
        </w:rPr>
      </w:r>
    </w:p>
    <w:p w:rsidR="00000000" w:rsidDel="00000000" w:rsidP="00000000" w:rsidRDefault="00000000" w:rsidRPr="00000000" w14:paraId="00000033">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4">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Things to consider:</w:t>
      </w:r>
    </w:p>
    <w:p w:rsidR="00000000" w:rsidDel="00000000" w:rsidP="00000000" w:rsidRDefault="00000000" w:rsidRPr="00000000" w14:paraId="00000035">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36">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Due diligence form - this can be sent to new suppliers</w:t>
      </w:r>
    </w:p>
    <w:p w:rsidR="00000000" w:rsidDel="00000000" w:rsidP="00000000" w:rsidRDefault="00000000" w:rsidRPr="00000000" w14:paraId="00000037">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38">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Risks - what you should be thinking of when purchasing and using new products and suppliers</w:t>
      </w:r>
    </w:p>
    <w:p w:rsidR="00000000" w:rsidDel="00000000" w:rsidP="00000000" w:rsidRDefault="00000000" w:rsidRPr="00000000" w14:paraId="00000039">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using GDPRiS for maintaining suppliers, make sure that this is updated and accurate</w:t>
      </w:r>
    </w:p>
    <w:p w:rsidR="00000000" w:rsidDel="00000000" w:rsidP="00000000" w:rsidRDefault="00000000" w:rsidRPr="00000000" w14:paraId="0000003A">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B">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13">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3C">
      <w:pPr>
        <w:shd w:fill="ffffff" w:val="clear"/>
        <w:rPr>
          <w:rFonts w:ascii="Calibri" w:cs="Calibri" w:eastAsia="Calibri" w:hAnsi="Calibri"/>
          <w:color w:val="0591b4"/>
          <w:sz w:val="24"/>
          <w:szCs w:val="24"/>
          <w:highlight w:val="white"/>
        </w:rPr>
      </w:pPr>
      <w:r w:rsidDel="00000000" w:rsidR="00000000" w:rsidRPr="00000000">
        <w:rPr>
          <w:rtl w:val="0"/>
        </w:rPr>
      </w:r>
    </w:p>
    <w:p w:rsidR="00000000" w:rsidDel="00000000" w:rsidP="00000000" w:rsidRDefault="00000000" w:rsidRPr="00000000" w14:paraId="0000003D">
      <w:pPr>
        <w:numPr>
          <w:ilvl w:val="0"/>
          <w:numId w:val="5"/>
        </w:numPr>
        <w:shd w:fill="ffffff" w:val="clear"/>
        <w:ind w:left="720" w:hanging="360"/>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Data retention</w:t>
      </w:r>
    </w:p>
    <w:p w:rsidR="00000000" w:rsidDel="00000000" w:rsidP="00000000" w:rsidRDefault="00000000" w:rsidRPr="00000000" w14:paraId="0000003E">
      <w:pPr>
        <w:widowControl w:val="0"/>
        <w:spacing w:after="300" w:line="276" w:lineRule="auto"/>
        <w:rPr>
          <w:rFonts w:ascii="Calibri" w:cs="Calibri" w:eastAsia="Calibri" w:hAnsi="Calibri"/>
          <w:b w:val="1"/>
          <w:color w:val="444444"/>
          <w:sz w:val="24"/>
          <w:szCs w:val="24"/>
          <w:highlight w:val="white"/>
        </w:rPr>
      </w:pPr>
      <w:r w:rsidDel="00000000" w:rsidR="00000000" w:rsidRPr="00000000">
        <w:rPr>
          <w:rFonts w:ascii="Calibri" w:cs="Calibri" w:eastAsia="Calibri" w:hAnsi="Calibri"/>
          <w:color w:val="444444"/>
          <w:sz w:val="24"/>
          <w:szCs w:val="24"/>
          <w:highlight w:val="white"/>
          <w:rtl w:val="0"/>
        </w:rPr>
        <w:t xml:space="preserve">Organisations can set deadlines, document and justify timeframes they have set for retaining data. There are </w:t>
      </w:r>
      <w:r w:rsidDel="00000000" w:rsidR="00000000" w:rsidRPr="00000000">
        <w:rPr>
          <w:rFonts w:ascii="Calibri" w:cs="Calibri" w:eastAsia="Calibri" w:hAnsi="Calibri"/>
          <w:b w:val="1"/>
          <w:color w:val="444444"/>
          <w:sz w:val="24"/>
          <w:szCs w:val="24"/>
          <w:highlight w:val="white"/>
          <w:rtl w:val="0"/>
        </w:rPr>
        <w:t xml:space="preserve">two key factors:</w:t>
      </w:r>
      <w:r w:rsidDel="00000000" w:rsidR="00000000" w:rsidRPr="00000000">
        <w:rPr>
          <w:rFonts w:ascii="Calibri" w:cs="Calibri" w:eastAsia="Calibri" w:hAnsi="Calibri"/>
          <w:color w:val="444444"/>
          <w:sz w:val="24"/>
          <w:szCs w:val="24"/>
          <w:highlight w:val="white"/>
          <w:rtl w:val="0"/>
        </w:rPr>
        <w:t xml:space="preserve"> the</w:t>
      </w:r>
      <w:r w:rsidDel="00000000" w:rsidR="00000000" w:rsidRPr="00000000">
        <w:rPr>
          <w:rFonts w:ascii="Calibri" w:cs="Calibri" w:eastAsia="Calibri" w:hAnsi="Calibri"/>
          <w:b w:val="1"/>
          <w:color w:val="444444"/>
          <w:sz w:val="24"/>
          <w:szCs w:val="24"/>
          <w:highlight w:val="white"/>
          <w:rtl w:val="0"/>
        </w:rPr>
        <w:t xml:space="preserve"> purpose </w:t>
      </w:r>
      <w:r w:rsidDel="00000000" w:rsidR="00000000" w:rsidRPr="00000000">
        <w:rPr>
          <w:rFonts w:ascii="Calibri" w:cs="Calibri" w:eastAsia="Calibri" w:hAnsi="Calibri"/>
          <w:color w:val="444444"/>
          <w:sz w:val="24"/>
          <w:szCs w:val="24"/>
          <w:highlight w:val="white"/>
          <w:rtl w:val="0"/>
        </w:rPr>
        <w:t xml:space="preserve">for processing the data, and any </w:t>
      </w:r>
      <w:r w:rsidDel="00000000" w:rsidR="00000000" w:rsidRPr="00000000">
        <w:rPr>
          <w:rFonts w:ascii="Calibri" w:cs="Calibri" w:eastAsia="Calibri" w:hAnsi="Calibri"/>
          <w:b w:val="1"/>
          <w:color w:val="444444"/>
          <w:sz w:val="24"/>
          <w:szCs w:val="24"/>
          <w:highlight w:val="white"/>
          <w:rtl w:val="0"/>
        </w:rPr>
        <w:t xml:space="preserve">legal or regulatory  requirements </w:t>
      </w:r>
      <w:r w:rsidDel="00000000" w:rsidR="00000000" w:rsidRPr="00000000">
        <w:rPr>
          <w:rFonts w:ascii="Calibri" w:cs="Calibri" w:eastAsia="Calibri" w:hAnsi="Calibri"/>
          <w:color w:val="444444"/>
          <w:sz w:val="24"/>
          <w:szCs w:val="24"/>
          <w:highlight w:val="white"/>
          <w:rtl w:val="0"/>
        </w:rPr>
        <w:t xml:space="preserve">for </w:t>
      </w:r>
      <w:r w:rsidDel="00000000" w:rsidR="00000000" w:rsidRPr="00000000">
        <w:rPr>
          <w:rFonts w:ascii="Calibri" w:cs="Calibri" w:eastAsia="Calibri" w:hAnsi="Calibri"/>
          <w:b w:val="1"/>
          <w:color w:val="444444"/>
          <w:sz w:val="24"/>
          <w:szCs w:val="24"/>
          <w:highlight w:val="white"/>
          <w:rtl w:val="0"/>
        </w:rPr>
        <w:t xml:space="preserve">retaining it. </w:t>
      </w:r>
      <w:r w:rsidDel="00000000" w:rsidR="00000000" w:rsidRPr="00000000">
        <w:rPr>
          <w:rFonts w:ascii="Calibri" w:cs="Calibri" w:eastAsia="Calibri" w:hAnsi="Calibri"/>
          <w:color w:val="444444"/>
          <w:sz w:val="24"/>
          <w:szCs w:val="24"/>
          <w:highlight w:val="white"/>
          <w:rtl w:val="0"/>
        </w:rPr>
        <w:t xml:space="preserve">One of your purposes will need to apply for you to continue to store the data. Data should not be held for longer than is needed. You shouldn’t just keep data just in case you may need it in the future.</w:t>
      </w:r>
      <w:r w:rsidDel="00000000" w:rsidR="00000000" w:rsidRPr="00000000">
        <w:rPr>
          <w:rtl w:val="0"/>
        </w:rPr>
      </w:r>
    </w:p>
    <w:p w:rsidR="00000000" w:rsidDel="00000000" w:rsidP="00000000" w:rsidRDefault="00000000" w:rsidRPr="00000000" w14:paraId="0000003F">
      <w:pPr>
        <w:shd w:fill="ffffff" w:val="clear"/>
        <w:ind w:left="0" w:firstLine="0"/>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Different data systems to  consider when reviewing data retention: </w:t>
      </w:r>
    </w:p>
    <w:p w:rsidR="00000000" w:rsidDel="00000000" w:rsidP="00000000" w:rsidRDefault="00000000" w:rsidRPr="00000000" w14:paraId="00000040">
      <w:pPr>
        <w:numPr>
          <w:ilvl w:val="0"/>
          <w:numId w:val="3"/>
        </w:numPr>
        <w:shd w:fill="ffffff" w:val="clear"/>
        <w:ind w:left="720" w:hanging="360"/>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Emails</w:t>
      </w:r>
    </w:p>
    <w:p w:rsidR="00000000" w:rsidDel="00000000" w:rsidP="00000000" w:rsidRDefault="00000000" w:rsidRPr="00000000" w14:paraId="00000041">
      <w:pPr>
        <w:numPr>
          <w:ilvl w:val="0"/>
          <w:numId w:val="3"/>
        </w:numPr>
        <w:shd w:fill="ffffff" w:val="clear"/>
        <w:ind w:left="720" w:hanging="360"/>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MIS</w:t>
      </w:r>
    </w:p>
    <w:p w:rsidR="00000000" w:rsidDel="00000000" w:rsidP="00000000" w:rsidRDefault="00000000" w:rsidRPr="00000000" w14:paraId="00000042">
      <w:pPr>
        <w:numPr>
          <w:ilvl w:val="0"/>
          <w:numId w:val="3"/>
        </w:numPr>
        <w:shd w:fill="ffffff" w:val="clear"/>
        <w:ind w:left="720" w:hanging="360"/>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Website</w:t>
      </w:r>
    </w:p>
    <w:p w:rsidR="00000000" w:rsidDel="00000000" w:rsidP="00000000" w:rsidRDefault="00000000" w:rsidRPr="00000000" w14:paraId="00000043">
      <w:pPr>
        <w:numPr>
          <w:ilvl w:val="0"/>
          <w:numId w:val="3"/>
        </w:numPr>
        <w:shd w:fill="ffffff" w:val="clear"/>
        <w:ind w:left="720" w:hanging="360"/>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Network/CLOUD</w:t>
      </w:r>
    </w:p>
    <w:p w:rsidR="00000000" w:rsidDel="00000000" w:rsidP="00000000" w:rsidRDefault="00000000" w:rsidRPr="00000000" w14:paraId="00000044">
      <w:pPr>
        <w:shd w:fill="ffffff" w:val="clear"/>
        <w:ind w:left="0" w:firstLine="0"/>
        <w:rPr>
          <w:rFonts w:ascii="Calibri" w:cs="Calibri" w:eastAsia="Calibri" w:hAnsi="Calibri"/>
          <w:color w:val="222222"/>
          <w:sz w:val="24"/>
          <w:szCs w:val="24"/>
          <w:highlight w:val="white"/>
        </w:rPr>
      </w:pPr>
      <w:r w:rsidDel="00000000" w:rsidR="00000000" w:rsidRPr="00000000">
        <w:rPr>
          <w:rtl w:val="0"/>
        </w:rPr>
      </w:r>
    </w:p>
    <w:p w:rsidR="00000000" w:rsidDel="00000000" w:rsidP="00000000" w:rsidRDefault="00000000" w:rsidRPr="00000000" w14:paraId="00000045">
      <w:pPr>
        <w:shd w:fill="ffffff" w:val="clear"/>
        <w:ind w:left="0" w:firstLine="0"/>
        <w:rPr>
          <w:rFonts w:ascii="Calibri" w:cs="Calibri" w:eastAsia="Calibri" w:hAnsi="Calibri"/>
          <w:b w:val="1"/>
          <w:color w:val="222222"/>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Tools to support you:</w:t>
      </w:r>
    </w:p>
    <w:p w:rsidR="00000000" w:rsidDel="00000000" w:rsidP="00000000" w:rsidRDefault="00000000" w:rsidRPr="00000000" w14:paraId="00000046">
      <w:pPr>
        <w:shd w:fill="ffffff" w:val="clear"/>
        <w:ind w:left="0" w:firstLine="0"/>
        <w:rPr>
          <w:rFonts w:ascii="Calibri" w:cs="Calibri" w:eastAsia="Calibri" w:hAnsi="Calibri"/>
          <w:color w:val="222222"/>
          <w:sz w:val="24"/>
          <w:szCs w:val="24"/>
          <w:highlight w:val="white"/>
        </w:rPr>
      </w:pPr>
      <w:r w:rsidDel="00000000" w:rsidR="00000000" w:rsidRPr="00000000">
        <w:rPr>
          <w:rtl w:val="0"/>
        </w:rPr>
      </w:r>
    </w:p>
    <w:p w:rsidR="00000000" w:rsidDel="00000000" w:rsidP="00000000" w:rsidRDefault="00000000" w:rsidRPr="00000000" w14:paraId="00000047">
      <w:pPr>
        <w:widowControl w:val="0"/>
        <w:numPr>
          <w:ilvl w:val="0"/>
          <w:numId w:val="1"/>
        </w:numPr>
        <w:spacing w:line="276"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There are a number of tools to support you with data retention: I</w:t>
      </w:r>
      <w:hyperlink r:id="rId14">
        <w:r w:rsidDel="00000000" w:rsidR="00000000" w:rsidRPr="00000000">
          <w:rPr>
            <w:rFonts w:ascii="Calibri" w:cs="Calibri" w:eastAsia="Calibri" w:hAnsi="Calibri"/>
            <w:color w:val="0563c1"/>
            <w:sz w:val="24"/>
            <w:szCs w:val="24"/>
            <w:highlight w:val="white"/>
            <w:u w:val="single"/>
            <w:rtl w:val="0"/>
          </w:rPr>
          <w:t xml:space="preserve">RMS</w:t>
        </w:r>
      </w:hyperlink>
      <w:r w:rsidDel="00000000" w:rsidR="00000000" w:rsidRPr="00000000">
        <w:rPr>
          <w:rFonts w:ascii="Calibri" w:cs="Calibri" w:eastAsia="Calibri" w:hAnsi="Calibri"/>
          <w:sz w:val="24"/>
          <w:szCs w:val="24"/>
          <w:highlight w:val="white"/>
          <w:rtl w:val="0"/>
        </w:rPr>
        <w:t xml:space="preserve"> tool kit</w:t>
      </w:r>
      <w:r w:rsidDel="00000000" w:rsidR="00000000" w:rsidRPr="00000000">
        <w:rPr>
          <w:rtl w:val="0"/>
        </w:rPr>
      </w:r>
    </w:p>
    <w:p w:rsidR="00000000" w:rsidDel="00000000" w:rsidP="00000000" w:rsidRDefault="00000000" w:rsidRPr="00000000" w14:paraId="00000048">
      <w:pPr>
        <w:widowControl w:val="0"/>
        <w:numPr>
          <w:ilvl w:val="0"/>
          <w:numId w:val="1"/>
        </w:numPr>
        <w:spacing w:line="276"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DPE’s data retention and </w:t>
      </w:r>
      <w:hyperlink r:id="rId15">
        <w:r w:rsidDel="00000000" w:rsidR="00000000" w:rsidRPr="00000000">
          <w:rPr>
            <w:rFonts w:ascii="Calibri" w:cs="Calibri" w:eastAsia="Calibri" w:hAnsi="Calibri"/>
            <w:color w:val="0563c1"/>
            <w:sz w:val="24"/>
            <w:szCs w:val="24"/>
            <w:highlight w:val="white"/>
            <w:u w:val="single"/>
            <w:rtl w:val="0"/>
          </w:rPr>
          <w:t xml:space="preserve">record management </w:t>
        </w:r>
      </w:hyperlink>
      <w:r w:rsidDel="00000000" w:rsidR="00000000" w:rsidRPr="00000000">
        <w:rPr>
          <w:rFonts w:ascii="Calibri" w:cs="Calibri" w:eastAsia="Calibri" w:hAnsi="Calibri"/>
          <w:sz w:val="24"/>
          <w:szCs w:val="24"/>
          <w:highlight w:val="white"/>
          <w:rtl w:val="0"/>
        </w:rPr>
        <w:t xml:space="preserve">best practice area</w:t>
      </w:r>
    </w:p>
    <w:p w:rsidR="00000000" w:rsidDel="00000000" w:rsidP="00000000" w:rsidRDefault="00000000" w:rsidRPr="00000000" w14:paraId="00000049">
      <w:pPr>
        <w:widowControl w:val="0"/>
        <w:numPr>
          <w:ilvl w:val="0"/>
          <w:numId w:val="1"/>
        </w:numPr>
        <w:spacing w:line="276" w:lineRule="auto"/>
        <w:ind w:left="720" w:hanging="360"/>
        <w:rPr>
          <w:rFonts w:ascii="Calibri" w:cs="Calibri" w:eastAsia="Calibri" w:hAnsi="Calibri"/>
          <w:sz w:val="24"/>
          <w:szCs w:val="24"/>
          <w:highlight w:val="white"/>
        </w:rPr>
      </w:pPr>
      <w:hyperlink r:id="rId16">
        <w:r w:rsidDel="00000000" w:rsidR="00000000" w:rsidRPr="00000000">
          <w:rPr>
            <w:rFonts w:ascii="Calibri" w:cs="Calibri" w:eastAsia="Calibri" w:hAnsi="Calibri"/>
            <w:color w:val="0563c1"/>
            <w:sz w:val="24"/>
            <w:szCs w:val="24"/>
            <w:highlight w:val="white"/>
            <w:u w:val="single"/>
            <w:rtl w:val="0"/>
          </w:rPr>
          <w:t xml:space="preserve">DfE</w:t>
        </w:r>
      </w:hyperlink>
      <w:r w:rsidDel="00000000" w:rsidR="00000000" w:rsidRPr="00000000">
        <w:rPr>
          <w:rFonts w:ascii="Calibri" w:cs="Calibri" w:eastAsia="Calibri" w:hAnsi="Calibri"/>
          <w:sz w:val="24"/>
          <w:szCs w:val="24"/>
          <w:highlight w:val="white"/>
          <w:rtl w:val="0"/>
        </w:rPr>
        <w:t xml:space="preserve"> Annual review of school records and safe data destruction checklist</w:t>
      </w:r>
    </w:p>
    <w:p w:rsidR="00000000" w:rsidDel="00000000" w:rsidP="00000000" w:rsidRDefault="00000000" w:rsidRPr="00000000" w14:paraId="0000004A">
      <w:pPr>
        <w:widowControl w:val="0"/>
        <w:numPr>
          <w:ilvl w:val="0"/>
          <w:numId w:val="1"/>
        </w:numPr>
        <w:spacing w:line="276" w:lineRule="auto"/>
        <w:ind w:left="720" w:hanging="360"/>
        <w:rPr>
          <w:rFonts w:ascii="Calibri" w:cs="Calibri" w:eastAsia="Calibri" w:hAnsi="Calibri"/>
          <w:sz w:val="24"/>
          <w:szCs w:val="24"/>
          <w:highlight w:val="white"/>
        </w:rPr>
      </w:pPr>
      <w:hyperlink r:id="rId17">
        <w:r w:rsidDel="00000000" w:rsidR="00000000" w:rsidRPr="00000000">
          <w:rPr>
            <w:rFonts w:ascii="Calibri" w:cs="Calibri" w:eastAsia="Calibri" w:hAnsi="Calibri"/>
            <w:color w:val="0563c1"/>
            <w:sz w:val="24"/>
            <w:szCs w:val="24"/>
            <w:highlight w:val="white"/>
            <w:u w:val="single"/>
            <w:rtl w:val="0"/>
          </w:rPr>
          <w:t xml:space="preserve">ICO</w:t>
        </w:r>
      </w:hyperlink>
      <w:r w:rsidDel="00000000" w:rsidR="00000000" w:rsidRPr="00000000">
        <w:rPr>
          <w:rtl w:val="0"/>
        </w:rPr>
      </w:r>
    </w:p>
    <w:p w:rsidR="00000000" w:rsidDel="00000000" w:rsidP="00000000" w:rsidRDefault="00000000" w:rsidRPr="00000000" w14:paraId="0000004B">
      <w:pPr>
        <w:widowControl w:val="0"/>
        <w:numPr>
          <w:ilvl w:val="0"/>
          <w:numId w:val="1"/>
        </w:numPr>
        <w:spacing w:line="276"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DPEs </w:t>
      </w:r>
      <w:hyperlink r:id="rId18">
        <w:r w:rsidDel="00000000" w:rsidR="00000000" w:rsidRPr="00000000">
          <w:rPr>
            <w:rFonts w:ascii="Calibri" w:cs="Calibri" w:eastAsia="Calibri" w:hAnsi="Calibri"/>
            <w:color w:val="0563c1"/>
            <w:sz w:val="24"/>
            <w:szCs w:val="24"/>
            <w:highlight w:val="white"/>
            <w:u w:val="single"/>
            <w:rtl w:val="0"/>
          </w:rPr>
          <w:t xml:space="preserve">Record of Processing (RoP)</w:t>
        </w:r>
      </w:hyperlink>
      <w:r w:rsidDel="00000000" w:rsidR="00000000" w:rsidRPr="00000000">
        <w:rPr>
          <w:rtl w:val="0"/>
        </w:rPr>
      </w:r>
    </w:p>
    <w:p w:rsidR="00000000" w:rsidDel="00000000" w:rsidP="00000000" w:rsidRDefault="00000000" w:rsidRPr="00000000" w14:paraId="0000004C">
      <w:pPr>
        <w:widowControl w:val="0"/>
        <w:numPr>
          <w:ilvl w:val="0"/>
          <w:numId w:val="1"/>
        </w:numPr>
        <w:spacing w:line="276"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Your third party list within your privacy notice</w:t>
      </w:r>
    </w:p>
    <w:p w:rsidR="00000000" w:rsidDel="00000000" w:rsidP="00000000" w:rsidRDefault="00000000" w:rsidRPr="00000000" w14:paraId="0000004D">
      <w:pPr>
        <w:widowControl w:val="0"/>
        <w:numPr>
          <w:ilvl w:val="0"/>
          <w:numId w:val="1"/>
        </w:numPr>
        <w:spacing w:line="276"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Laws and regulations (for example, financial regulations and handbooks and limitations act: </w:t>
      </w:r>
      <w:hyperlink r:id="rId19">
        <w:r w:rsidDel="00000000" w:rsidR="00000000" w:rsidRPr="00000000">
          <w:rPr>
            <w:rFonts w:ascii="Calibri" w:cs="Calibri" w:eastAsia="Calibri" w:hAnsi="Calibri"/>
            <w:color w:val="0563c1"/>
            <w:sz w:val="24"/>
            <w:szCs w:val="24"/>
            <w:highlight w:val="white"/>
            <w:u w:val="single"/>
            <w:rtl w:val="0"/>
          </w:rPr>
          <w:t xml:space="preserve">https://www.legislation.gov.uk/ukpga/1980/58</w:t>
        </w:r>
      </w:hyperlink>
      <w:r w:rsidDel="00000000" w:rsidR="00000000" w:rsidRPr="00000000">
        <w:rPr>
          <w:rFonts w:ascii="Calibri" w:cs="Calibri" w:eastAsia="Calibri" w:hAnsi="Calibri"/>
          <w:sz w:val="24"/>
          <w:szCs w:val="24"/>
          <w:highlight w:val="white"/>
          <w:rtl w:val="0"/>
        </w:rPr>
        <w:t xml:space="preserve"> /legislation: </w:t>
      </w:r>
      <w:hyperlink r:id="rId20">
        <w:r w:rsidDel="00000000" w:rsidR="00000000" w:rsidRPr="00000000">
          <w:rPr>
            <w:rFonts w:ascii="Calibri" w:cs="Calibri" w:eastAsia="Calibri" w:hAnsi="Calibri"/>
            <w:color w:val="0563c1"/>
            <w:sz w:val="24"/>
            <w:szCs w:val="24"/>
            <w:highlight w:val="white"/>
            <w:u w:val="single"/>
            <w:rtl w:val="0"/>
          </w:rPr>
          <w:t xml:space="preserve">https://www.legislation.gov.uk/uksi/2021/833/contents/made</w:t>
        </w:r>
      </w:hyperlink>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4E">
      <w:pPr>
        <w:widowControl w:val="0"/>
        <w:numPr>
          <w:ilvl w:val="0"/>
          <w:numId w:val="1"/>
        </w:numPr>
        <w:spacing w:line="276" w:lineRule="auto"/>
        <w:ind w:left="720" w:hanging="360"/>
        <w:rPr>
          <w:rFonts w:ascii="Calibri" w:cs="Calibri" w:eastAsia="Calibri" w:hAnsi="Calibri"/>
          <w:sz w:val="24"/>
          <w:szCs w:val="24"/>
          <w:highlight w:val="white"/>
        </w:rPr>
      </w:pPr>
      <w:hyperlink r:id="rId21">
        <w:r w:rsidDel="00000000" w:rsidR="00000000" w:rsidRPr="00000000">
          <w:rPr>
            <w:rFonts w:ascii="Calibri" w:cs="Calibri" w:eastAsia="Calibri" w:hAnsi="Calibri"/>
            <w:color w:val="0563c1"/>
            <w:sz w:val="24"/>
            <w:szCs w:val="24"/>
            <w:highlight w:val="white"/>
            <w:u w:val="single"/>
            <w:rtl w:val="0"/>
          </w:rPr>
          <w:t xml:space="preserve">Microsoft retention tools</w:t>
        </w:r>
      </w:hyperlink>
      <w:r w:rsidDel="00000000" w:rsidR="00000000" w:rsidRPr="00000000">
        <w:rPr>
          <w:rtl w:val="0"/>
        </w:rPr>
      </w:r>
    </w:p>
    <w:p w:rsidR="00000000" w:rsidDel="00000000" w:rsidP="00000000" w:rsidRDefault="00000000" w:rsidRPr="00000000" w14:paraId="0000004F">
      <w:pPr>
        <w:widowControl w:val="0"/>
        <w:numPr>
          <w:ilvl w:val="0"/>
          <w:numId w:val="1"/>
        </w:numPr>
        <w:spacing w:line="276" w:lineRule="auto"/>
        <w:ind w:left="720" w:hanging="360"/>
        <w:rPr>
          <w:rFonts w:ascii="Calibri" w:cs="Calibri" w:eastAsia="Calibri" w:hAnsi="Calibri"/>
          <w:sz w:val="24"/>
          <w:szCs w:val="24"/>
          <w:highlight w:val="white"/>
        </w:rPr>
      </w:pPr>
      <w:hyperlink r:id="rId22">
        <w:r w:rsidDel="00000000" w:rsidR="00000000" w:rsidRPr="00000000">
          <w:rPr>
            <w:rFonts w:ascii="Calibri" w:cs="Calibri" w:eastAsia="Calibri" w:hAnsi="Calibri"/>
            <w:color w:val="0563c1"/>
            <w:sz w:val="24"/>
            <w:szCs w:val="24"/>
            <w:highlight w:val="white"/>
            <w:u w:val="single"/>
            <w:rtl w:val="0"/>
          </w:rPr>
          <w:t xml:space="preserve">Google retention tools</w:t>
        </w:r>
      </w:hyperlink>
      <w:r w:rsidDel="00000000" w:rsidR="00000000" w:rsidRPr="00000000">
        <w:rPr>
          <w:rtl w:val="0"/>
        </w:rPr>
      </w:r>
    </w:p>
    <w:p w:rsidR="00000000" w:rsidDel="00000000" w:rsidP="00000000" w:rsidRDefault="00000000" w:rsidRPr="00000000" w14:paraId="00000050">
      <w:pPr>
        <w:widowControl w:val="0"/>
        <w:numPr>
          <w:ilvl w:val="0"/>
          <w:numId w:val="1"/>
        </w:numPr>
        <w:spacing w:line="276" w:lineRule="auto"/>
        <w:ind w:left="720" w:hanging="360"/>
        <w:rPr>
          <w:rFonts w:ascii="Calibri" w:cs="Calibri" w:eastAsia="Calibri" w:hAnsi="Calibri"/>
          <w:sz w:val="24"/>
          <w:szCs w:val="24"/>
          <w:highlight w:val="white"/>
        </w:rPr>
      </w:pPr>
      <w:hyperlink r:id="rId23">
        <w:r w:rsidDel="00000000" w:rsidR="00000000" w:rsidRPr="00000000">
          <w:rPr>
            <w:rFonts w:ascii="Calibri" w:cs="Calibri" w:eastAsia="Calibri" w:hAnsi="Calibri"/>
            <w:color w:val="0563c1"/>
            <w:sz w:val="24"/>
            <w:szCs w:val="24"/>
            <w:highlight w:val="white"/>
            <w:u w:val="single"/>
            <w:rtl w:val="0"/>
          </w:rPr>
          <w:t xml:space="preserve">MIS retention tools</w:t>
        </w:r>
      </w:hyperlink>
      <w:r w:rsidDel="00000000" w:rsidR="00000000" w:rsidRPr="00000000">
        <w:rPr>
          <w:rtl w:val="0"/>
        </w:rPr>
      </w:r>
    </w:p>
    <w:p w:rsidR="00000000" w:rsidDel="00000000" w:rsidP="00000000" w:rsidRDefault="00000000" w:rsidRPr="00000000" w14:paraId="00000051">
      <w:pPr>
        <w:widowControl w:val="0"/>
        <w:numPr>
          <w:ilvl w:val="0"/>
          <w:numId w:val="1"/>
        </w:numPr>
        <w:spacing w:line="276"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Network scanning and retention tools - speak to your IT department</w:t>
      </w:r>
    </w:p>
    <w:p w:rsidR="00000000" w:rsidDel="00000000" w:rsidP="00000000" w:rsidRDefault="00000000" w:rsidRPr="00000000" w14:paraId="00000052">
      <w:pPr>
        <w:widowControl w:val="0"/>
        <w:spacing w:line="276"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3">
      <w:pPr>
        <w:widowControl w:val="0"/>
        <w:spacing w:line="276" w:lineRule="auto"/>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Data retention workshops (approx 1 hour) </w:t>
      </w:r>
      <w:r w:rsidDel="00000000" w:rsidR="00000000" w:rsidRPr="00000000">
        <w:rPr>
          <w:rFonts w:ascii="Calibri" w:cs="Calibri" w:eastAsia="Calibri" w:hAnsi="Calibri"/>
          <w:sz w:val="24"/>
          <w:szCs w:val="24"/>
          <w:highlight w:val="white"/>
          <w:rtl w:val="0"/>
        </w:rPr>
        <w:t xml:space="preserve">exploring in more detail data retention within different systems can be booked via the DPE website: My activities&gt;Events: </w:t>
      </w:r>
      <w:hyperlink r:id="rId24">
        <w:r w:rsidDel="00000000" w:rsidR="00000000" w:rsidRPr="00000000">
          <w:rPr>
            <w:rFonts w:ascii="Calibri" w:cs="Calibri" w:eastAsia="Calibri" w:hAnsi="Calibri"/>
            <w:color w:val="1155cc"/>
            <w:sz w:val="24"/>
            <w:szCs w:val="24"/>
            <w:highlight w:val="white"/>
            <w:u w:val="single"/>
            <w:rtl w:val="0"/>
          </w:rPr>
          <w:t xml:space="preserve">https://dataprotection.education/courses-heading/dpe-events</w:t>
        </w:r>
      </w:hyperlink>
      <w:r w:rsidDel="00000000" w:rsidR="00000000" w:rsidRPr="00000000">
        <w:rPr>
          <w:rFonts w:ascii="Calibri" w:cs="Calibri" w:eastAsia="Calibri" w:hAnsi="Calibri"/>
          <w:sz w:val="24"/>
          <w:szCs w:val="24"/>
          <w:highlight w:val="white"/>
          <w:rtl w:val="0"/>
        </w:rPr>
        <w:t xml:space="preserve">  </w:t>
      </w:r>
    </w:p>
    <w:sectPr>
      <w:headerReference r:id="rId25"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egislation.gov.uk/uksi/2021/833/contents/made" TargetMode="External"/><Relationship Id="rId22" Type="http://schemas.openxmlformats.org/officeDocument/2006/relationships/hyperlink" Target="https://support.google.com/vault/answer/2990828?hl=en" TargetMode="External"/><Relationship Id="rId21" Type="http://schemas.openxmlformats.org/officeDocument/2006/relationships/hyperlink" Target="https://docs.microsoft.com/en-us/microsoft-365/compliance/retention?view=o365-worldwide" TargetMode="External"/><Relationship Id="rId24" Type="http://schemas.openxmlformats.org/officeDocument/2006/relationships/hyperlink" Target="https://dataprotection.education/courses-heading/dpe-events" TargetMode="External"/><Relationship Id="rId23" Type="http://schemas.openxmlformats.org/officeDocument/2006/relationships/hyperlink" Target="https://support.capitasoftware.com/csm?id=kb_article_view&amp;sysparm_article=KB0035802&amp;sys_kb_id=1915cce21b9f3010c723edb2b24bcbce&amp;spa=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sc.gov.uk/section/education-skills/schools"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ataprotection.education/best-practice-library/documents/information-technology-security" TargetMode="External"/><Relationship Id="rId7" Type="http://schemas.openxmlformats.org/officeDocument/2006/relationships/hyperlink" Target="https://dataprotection.education/courses-heading/stay-safe-online-ncsc" TargetMode="External"/><Relationship Id="rId8" Type="http://schemas.openxmlformats.org/officeDocument/2006/relationships/hyperlink" Target="http://ncsc.gov.uk/" TargetMode="External"/><Relationship Id="rId11" Type="http://schemas.openxmlformats.org/officeDocument/2006/relationships/hyperlink" Target="https://www.ncsc.gov.uk/information/school-governor-questions" TargetMode="External"/><Relationship Id="rId10" Type="http://schemas.openxmlformats.org/officeDocument/2006/relationships/hyperlink" Target="https://www.ncsc.gov.uk/information/school-governor-questions" TargetMode="External"/><Relationship Id="rId13" Type="http://schemas.openxmlformats.org/officeDocument/2006/relationships/hyperlink" Target="https://dataprotection.education/index.php/best-practice-library/best-practice/due-diligence-best-practice-area" TargetMode="External"/><Relationship Id="rId12" Type="http://schemas.openxmlformats.org/officeDocument/2006/relationships/hyperlink" Target="https://www.trowseprimaryschool.co.uk/key-information/gdpr" TargetMode="External"/><Relationship Id="rId15" Type="http://schemas.openxmlformats.org/officeDocument/2006/relationships/hyperlink" Target="https://dataprotection.education/index.php/best-practice-library/best-practice/records-management" TargetMode="External"/><Relationship Id="rId14" Type="http://schemas.openxmlformats.org/officeDocument/2006/relationships/hyperlink" Target="https://irms.org.uk/page/SchoolsToolkit" TargetMode="External"/><Relationship Id="rId17" Type="http://schemas.openxmlformats.org/officeDocument/2006/relationships/hyperlink" Target="https://ico.org.uk/for-organisations/guide-to-data-protection/guide-to-the-general-data-protection-regulation-gdpr/principles/storage-limitation/" TargetMode="External"/><Relationship Id="rId16" Type="http://schemas.openxmlformats.org/officeDocument/2006/relationships/hyperlink" Target="https://assets.publishing.service.gov.uk/government/uploads/system/uploads/attachment_data/file/737237/Records_Checklist_Safe_Data_Destruction_Log_accessible.docx#:~:text=Every%20entry%20in%20the%20admission,which%20the%20entry%20was%20made.&amp;text=Schools%20may%20wish%20to%20consider,dates%20they%20attended%20the%20school." TargetMode="External"/><Relationship Id="rId19" Type="http://schemas.openxmlformats.org/officeDocument/2006/relationships/hyperlink" Target="https://www.legislation.gov.uk/ukpga/1980/58" TargetMode="External"/><Relationship Id="rId18" Type="http://schemas.openxmlformats.org/officeDocument/2006/relationships/hyperlink" Target="https://dataprotection.education/index.php?option=com_tjucm&amp;view=items&amp;client=com_tjucm.rop&amp;filter_process=generic&amp;Itemid=125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