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Calibri" w:cs="Calibri" w:eastAsia="Calibri" w:hAnsi="Calibri"/>
          <w:b w:val="0"/>
          <w:color w:val="4bacc6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bacc6"/>
          <w:sz w:val="30"/>
          <w:szCs w:val="30"/>
          <w:rtl w:val="0"/>
        </w:rPr>
        <w:t xml:space="preserve">Trust</w:t>
      </w:r>
      <w:r w:rsidDel="00000000" w:rsidR="00000000" w:rsidRPr="00000000">
        <w:rPr>
          <w:rFonts w:ascii="Calibri" w:cs="Calibri" w:eastAsia="Calibri" w:hAnsi="Calibri"/>
          <w:color w:val="4bacc6"/>
          <w:sz w:val="30"/>
          <w:szCs w:val="30"/>
          <w:rtl w:val="0"/>
        </w:rPr>
        <w:t xml:space="preserve">:   </w:t>
      </w:r>
      <w:r w:rsidDel="00000000" w:rsidR="00000000" w:rsidRPr="00000000">
        <w:rPr>
          <w:rFonts w:ascii="Calibri" w:cs="Calibri" w:eastAsia="Calibri" w:hAnsi="Calibri"/>
          <w:b w:val="0"/>
          <w:color w:val="4bacc6"/>
          <w:sz w:val="30"/>
          <w:szCs w:val="30"/>
          <w:rtl w:val="0"/>
        </w:rPr>
        <w:t xml:space="preserve">The Primary First Trust    </w:t>
      </w:r>
      <w:r w:rsidDel="00000000" w:rsidR="00000000" w:rsidRPr="00000000">
        <w:rPr>
          <w:rFonts w:ascii="Calibri" w:cs="Calibri" w:eastAsia="Calibri" w:hAnsi="Calibri"/>
          <w:color w:val="4bacc6"/>
          <w:sz w:val="30"/>
          <w:szCs w:val="30"/>
          <w:rtl w:val="0"/>
        </w:rPr>
        <w:t xml:space="preserve">                                             Date: </w:t>
      </w:r>
      <w:r w:rsidDel="00000000" w:rsidR="00000000" w:rsidRPr="00000000">
        <w:rPr>
          <w:rFonts w:ascii="Calibri" w:cs="Calibri" w:eastAsia="Calibri" w:hAnsi="Calibri"/>
          <w:b w:val="0"/>
          <w:color w:val="4bacc6"/>
          <w:sz w:val="30"/>
          <w:szCs w:val="30"/>
          <w:rtl w:val="0"/>
        </w:rPr>
        <w:t xml:space="preserve">28/02/2022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0591b4"/>
          <w:sz w:val="30"/>
          <w:szCs w:val="30"/>
          <w:rtl w:val="0"/>
        </w:rPr>
        <w:t xml:space="preserve">Report: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591b4"/>
          <w:sz w:val="30"/>
          <w:szCs w:val="30"/>
          <w:rtl w:val="0"/>
        </w:rPr>
        <w:t xml:space="preserve"> Remote consultation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              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0591b4"/>
          <w:sz w:val="30"/>
          <w:szCs w:val="30"/>
          <w:rtl w:val="0"/>
        </w:rPr>
        <w:t xml:space="preserve">DPE:</w:t>
      </w:r>
      <w:r w:rsidDel="00000000" w:rsidR="00000000" w:rsidRPr="00000000">
        <w:rPr>
          <w:rFonts w:ascii="Calibri" w:cs="Calibri" w:eastAsia="Calibri" w:hAnsi="Calibri"/>
          <w:color w:val="0591b4"/>
          <w:sz w:val="30"/>
          <w:szCs w:val="30"/>
          <w:rtl w:val="0"/>
        </w:rPr>
        <w:t xml:space="preserve"> James England and Stuart Lee                      </w:t>
      </w:r>
      <w:r w:rsidDel="00000000" w:rsidR="00000000" w:rsidRPr="00000000">
        <w:rPr>
          <w:rFonts w:ascii="Calibri" w:cs="Calibri" w:eastAsia="Calibri" w:hAnsi="Calibri"/>
          <w:b w:val="1"/>
          <w:color w:val="0591b4"/>
          <w:sz w:val="30"/>
          <w:szCs w:val="30"/>
          <w:rtl w:val="0"/>
        </w:rPr>
        <w:t xml:space="preserve"> Staff member:</w:t>
      </w:r>
      <w:r w:rsidDel="00000000" w:rsidR="00000000" w:rsidRPr="00000000">
        <w:rPr>
          <w:rFonts w:ascii="Calibri" w:cs="Calibri" w:eastAsia="Calibri" w:hAnsi="Calibri"/>
          <w:color w:val="0591b4"/>
          <w:sz w:val="30"/>
          <w:szCs w:val="30"/>
          <w:rtl w:val="0"/>
        </w:rPr>
        <w:t xml:space="preserve"> Kerry Riley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b w:val="1"/>
          <w:color w:val="0591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A meeting was arranged between KR and JE with SL joining the meeting to discuss MIS migration/data retention and GDPR policies.  SL had reviewed Trust policies and procedures prior to the meeting. Meeting details and follow up actions  below: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color w:val="0591b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591b4"/>
          <w:sz w:val="28"/>
          <w:szCs w:val="28"/>
          <w:rtl w:val="0"/>
        </w:rPr>
        <w:t xml:space="preserve">Review of GDPR  compliance documents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 reviewed and confirmed that the  Trust has the  main compliance documents displayed on the Trust website: 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GDPR policy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Privacy notice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SAR and data breach procedure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Freedom of information publication scheme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Records retention policy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b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Trust to update to the latest  individual privacy notices: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Pupils privacy notice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Child friendly privacy notice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General privacy notice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Privacy notices are available from the DPE transparency best practice area: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https://dataprotection.education/best-practice-library/best-practice/transparency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Trust third party/supplier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 can also be displayed with the privacy notices on the Trust website (master list to check against attached)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Add consent withdrawal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the GDPR section of the Trust website: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https://dataprotection.education/best-practice-library/documents/procedures/10-photo-consent-withdrawal-form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591b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591b4"/>
          <w:sz w:val="28"/>
          <w:szCs w:val="28"/>
          <w:rtl w:val="0"/>
        </w:rPr>
        <w:t xml:space="preserve">Information security (phishing simulation) and e-learning training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KR confirmed that staff have been completing e-learning training and this is evident when checking individual schools records. </w:t>
      </w:r>
    </w:p>
    <w:p w:rsidR="00000000" w:rsidDel="00000000" w:rsidP="00000000" w:rsidRDefault="00000000" w:rsidRPr="00000000" w14:paraId="0000001C">
      <w:pPr>
        <w:shd w:fill="ffffff" w:val="clear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jc w:val="both"/>
        <w:rPr>
          <w:rFonts w:ascii="Calibri" w:cs="Calibri" w:eastAsia="Calibri" w:hAnsi="Calibri"/>
          <w:b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24"/>
          <w:szCs w:val="24"/>
          <w:rtl w:val="0"/>
        </w:rPr>
        <w:t xml:space="preserve">Actions: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ind w:left="720" w:hanging="360"/>
        <w:jc w:val="both"/>
        <w:rPr>
          <w:rFonts w:ascii="Calibri" w:cs="Calibri" w:eastAsia="Calibri" w:hAnsi="Calibri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KR to review training and follow up with staff who have not completed GDPR training.</w:t>
      </w:r>
    </w:p>
    <w:p w:rsidR="00000000" w:rsidDel="00000000" w:rsidP="00000000" w:rsidRDefault="00000000" w:rsidRPr="00000000" w14:paraId="0000001F">
      <w:pPr>
        <w:shd w:fill="ffffff" w:val="clear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If not already, it was recommended that all staff complete the </w:t>
      </w:r>
      <w:r w:rsidDel="00000000" w:rsidR="00000000" w:rsidRPr="00000000">
        <w:rPr>
          <w:rFonts w:ascii="Calibri" w:cs="Calibri" w:eastAsia="Calibri" w:hAnsi="Calibri"/>
          <w:b w:val="1"/>
          <w:color w:val="222222"/>
          <w:sz w:val="24"/>
          <w:szCs w:val="24"/>
          <w:rtl w:val="0"/>
        </w:rPr>
        <w:t xml:space="preserve">Stay Safe online NCSC training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. This is not only beneficial for the organisation but also for staff when accessing personal information online i.e. personal banking: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https://dataprotection.education/courses-heading/stay-safe-online-ncsc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JE mentioned the option of INSET/refresher training for staff in the future.</w:t>
      </w:r>
    </w:p>
    <w:p w:rsidR="00000000" w:rsidDel="00000000" w:rsidP="00000000" w:rsidRDefault="00000000" w:rsidRPr="00000000" w14:paraId="00000023">
      <w:pPr>
        <w:shd w:fill="ffffff" w:val="clear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591b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591b4"/>
          <w:sz w:val="28"/>
          <w:szCs w:val="28"/>
          <w:rtl w:val="0"/>
        </w:rPr>
        <w:t xml:space="preserve">Data retention and 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ind w:left="0" w:firstLine="0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Different data systems to  consider when reviewing data retention were discussed with the focus on the Trusts MIS; as the Trust school(s) are now migrating to Juniper Horison MIS. JE mentioned that a DPIA should ideally be completed.</w:t>
      </w:r>
    </w:p>
    <w:p w:rsidR="00000000" w:rsidDel="00000000" w:rsidP="00000000" w:rsidRDefault="00000000" w:rsidRPr="00000000" w14:paraId="00000026">
      <w:pPr>
        <w:shd w:fill="ffffff" w:val="clear"/>
        <w:ind w:left="0" w:firstLine="0"/>
        <w:rPr>
          <w:rFonts w:ascii="Calibri" w:cs="Calibri" w:eastAsia="Calibri" w:hAnsi="Calibri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ind w:left="0" w:firstLine="0"/>
        <w:rPr>
          <w:rFonts w:ascii="Calibri" w:cs="Calibri" w:eastAsia="Calibri" w:hAnsi="Calibri"/>
          <w:b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JE to follow up with the compliance team for the completed  due diligence form (Juniper Education - MIS and website builder)  - </w:t>
      </w:r>
      <w:r w:rsidDel="00000000" w:rsidR="00000000" w:rsidRPr="00000000">
        <w:rPr>
          <w:rFonts w:ascii="Calibri" w:cs="Calibri" w:eastAsia="Calibri" w:hAnsi="Calibri"/>
          <w:b w:val="1"/>
          <w:color w:val="222222"/>
          <w:sz w:val="24"/>
          <w:szCs w:val="24"/>
          <w:rtl w:val="0"/>
        </w:rPr>
        <w:t xml:space="preserve">actioned by JE 28/2/22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SL to send KR the RoP risk report for the migration of data from one MIS to another - </w:t>
      </w:r>
      <w:r w:rsidDel="00000000" w:rsidR="00000000" w:rsidRPr="00000000">
        <w:rPr>
          <w:rFonts w:ascii="Calibri" w:cs="Calibri" w:eastAsia="Calibri" w:hAnsi="Calibri"/>
          <w:b w:val="1"/>
          <w:color w:val="222222"/>
          <w:sz w:val="24"/>
          <w:szCs w:val="24"/>
          <w:rtl w:val="0"/>
        </w:rPr>
        <w:t xml:space="preserve">actioned by SL 28/02/22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JE to liaise with KR for the rollout of the RoP for the Trust</w:t>
      </w:r>
    </w:p>
    <w:p w:rsidR="00000000" w:rsidDel="00000000" w:rsidP="00000000" w:rsidRDefault="00000000" w:rsidRPr="00000000" w14:paraId="0000002B">
      <w:pPr>
        <w:shd w:fill="ffffff" w:val="clear"/>
        <w:ind w:left="0" w:firstLine="0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ind w:left="0" w:firstLine="0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 A further meeting was arranged with </w:t>
      </w:r>
      <w:r w:rsidDel="00000000" w:rsidR="00000000" w:rsidRPr="00000000">
        <w:rPr>
          <w:rFonts w:ascii="Calibri" w:cs="Calibri" w:eastAsia="Calibri" w:hAnsi="Calibri"/>
          <w:b w:val="1"/>
          <w:color w:val="222222"/>
          <w:sz w:val="24"/>
          <w:szCs w:val="24"/>
          <w:rtl w:val="0"/>
        </w:rPr>
        <w:t xml:space="preserve">SL ( 8/03/22)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to go over the Migration RoP (DPIA) in more detail.</w:t>
      </w:r>
    </w:p>
    <w:p w:rsidR="00000000" w:rsidDel="00000000" w:rsidP="00000000" w:rsidRDefault="00000000" w:rsidRPr="00000000" w14:paraId="0000002D">
      <w:pPr>
        <w:shd w:fill="ffffff" w:val="clear"/>
        <w:ind w:left="0" w:firstLine="0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ind w:left="0" w:firstLine="0"/>
        <w:rPr>
          <w:rFonts w:ascii="Calibri" w:cs="Calibri" w:eastAsia="Calibri" w:hAnsi="Calibri"/>
          <w:b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24"/>
          <w:szCs w:val="24"/>
          <w:rtl w:val="0"/>
        </w:rPr>
        <w:t xml:space="preserve">Data retention tools to support you:</w:t>
      </w:r>
    </w:p>
    <w:p w:rsidR="00000000" w:rsidDel="00000000" w:rsidP="00000000" w:rsidRDefault="00000000" w:rsidRPr="00000000" w14:paraId="0000002F">
      <w:pPr>
        <w:shd w:fill="ffffff" w:val="clear"/>
        <w:ind w:left="0" w:firstLine="0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There are a number of tools to support you with data retention: I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RMS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tool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DPE’s data retention and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record management 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best practice area and records management policy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DfE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Annual review of school records and safe data destruction checklist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DPEs </w:t>
      </w:r>
      <w:hyperlink r:id="rId13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Record of Processing (RoP)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third party list within your privacy notice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Laws and regulations (for example, financial regulations and handbooks and limitations act: </w:t>
      </w:r>
      <w:hyperlink r:id="rId14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https://www.legislation.gov.uk/ukpga/1980/58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/legislation: </w:t>
      </w:r>
      <w:hyperlink r:id="rId15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https://www.legislation.gov.uk/uksi/2021/833/contents/made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Microsoft retention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Google retention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MIS retention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Network scanning and retention tools - speak to your IT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b w:val="1"/>
          <w:color w:val="0591b4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/>
    </w:pPr>
    <w:r w:rsidDel="00000000" w:rsidR="00000000" w:rsidRPr="00000000">
      <w:rPr/>
      <w:drawing>
        <wp:inline distB="0" distT="0" distL="114300" distR="114300">
          <wp:extent cx="2552700" cy="6858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shd w:fill="0591b4" w:val="clear"/>
      <w:rPr/>
    </w:pPr>
    <w:r w:rsidDel="00000000" w:rsidR="00000000" w:rsidRPr="00000000">
      <w:rPr>
        <w:color w:val="0591b4"/>
        <w:sz w:val="4"/>
        <w:szCs w:val="4"/>
        <w:rtl w:val="0"/>
      </w:rPr>
      <w:t xml:space="preserve">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ssets.publishing.service.gov.uk/government/uploads/system/uploads/attachment_data/file/737237/Records_Checklist_Safe_Data_Destruction_Log_accessible.docx#:~:text=Every%20entry%20in%20the%20admission,which%20the%20entry%20was%20made.&amp;text=Schools%20may%20wish%20to%20consider,dates%20they%20attended%20the%20school." TargetMode="External"/><Relationship Id="rId10" Type="http://schemas.openxmlformats.org/officeDocument/2006/relationships/hyperlink" Target="https://dataprotection.education/index.php/best-practice-library/best-practice/records-management" TargetMode="External"/><Relationship Id="rId13" Type="http://schemas.openxmlformats.org/officeDocument/2006/relationships/hyperlink" Target="https://dataprotection.education/index.php?option=com_tjucm&amp;view=items&amp;client=com_tjucm.rop&amp;filter_process=generic&amp;Itemid=1258" TargetMode="External"/><Relationship Id="rId12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rms.org.uk/page/SchoolsToolkit" TargetMode="External"/><Relationship Id="rId15" Type="http://schemas.openxmlformats.org/officeDocument/2006/relationships/hyperlink" Target="https://www.legislation.gov.uk/uksi/2021/833/contents/made" TargetMode="External"/><Relationship Id="rId14" Type="http://schemas.openxmlformats.org/officeDocument/2006/relationships/hyperlink" Target="https://www.legislation.gov.uk/ukpga/1980/58" TargetMode="External"/><Relationship Id="rId17" Type="http://schemas.openxmlformats.org/officeDocument/2006/relationships/hyperlink" Target="https://support.google.com/vault/answer/2990828?hl=en" TargetMode="External"/><Relationship Id="rId16" Type="http://schemas.openxmlformats.org/officeDocument/2006/relationships/hyperlink" Target="https://docs.microsoft.com/en-us/microsoft-365/compliance/retention?view=o365-worldwide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dataprotection.education/best-practice-library/best-practice/transparency" TargetMode="External"/><Relationship Id="rId18" Type="http://schemas.openxmlformats.org/officeDocument/2006/relationships/hyperlink" Target="https://support.capitasoftware.com/csm?id=kb_article_view&amp;sysparm_article=KB0035802&amp;sys_kb_id=1915cce21b9f3010c723edb2b24bcbce&amp;spa=1" TargetMode="External"/><Relationship Id="rId7" Type="http://schemas.openxmlformats.org/officeDocument/2006/relationships/hyperlink" Target="https://dataprotection.education/best-practice-library/documents/procedures/10-photo-consent-withdrawal-form" TargetMode="External"/><Relationship Id="rId8" Type="http://schemas.openxmlformats.org/officeDocument/2006/relationships/hyperlink" Target="https://dataprotection.education/courses-heading/stay-safe-online-ncsc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