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Hillside Primary    </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21/03/2022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visit report/Information sheet</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b w:val="1"/>
          <w:color w:val="0591b4"/>
          <w:sz w:val="24"/>
          <w:szCs w:val="24"/>
          <w:highlight w:val="yellow"/>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 </w:t>
      </w:r>
      <w:r w:rsidDel="00000000" w:rsidR="00000000" w:rsidRPr="00000000">
        <w:rPr>
          <w:rFonts w:ascii="Calibri" w:cs="Calibri" w:eastAsia="Calibri" w:hAnsi="Calibri"/>
          <w:color w:val="0591b4"/>
          <w:sz w:val="30"/>
          <w:szCs w:val="30"/>
          <w:rtl w:val="0"/>
        </w:rPr>
        <w:t xml:space="preserve">Lynsey Boulton</w:t>
      </w:r>
      <w:r w:rsidDel="00000000" w:rsidR="00000000" w:rsidRPr="00000000">
        <w:rPr>
          <w:rtl w:val="0"/>
        </w:rPr>
      </w:r>
    </w:p>
    <w:p w:rsidR="00000000" w:rsidDel="00000000" w:rsidP="00000000" w:rsidRDefault="00000000" w:rsidRPr="00000000" w14:paraId="00000004">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05">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06">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07">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08">
      <w:pPr>
        <w:shd w:fill="ffffff" w:val="clear"/>
        <w:jc w:val="both"/>
        <w:rPr>
          <w:rFonts w:ascii="Calibri" w:cs="Calibri" w:eastAsia="Calibri" w:hAnsi="Calibri"/>
          <w:b w:val="1"/>
          <w:color w:val="00ff00"/>
          <w:sz w:val="24"/>
          <w:szCs w:val="24"/>
          <w:highlight w:val="white"/>
        </w:rPr>
      </w:pPr>
      <w:r w:rsidDel="00000000" w:rsidR="00000000" w:rsidRPr="00000000">
        <w:rPr>
          <w:rFonts w:ascii="Calibri" w:cs="Calibri" w:eastAsia="Calibri" w:hAnsi="Calibri"/>
          <w:b w:val="1"/>
          <w:color w:val="00ff00"/>
          <w:sz w:val="24"/>
          <w:szCs w:val="24"/>
          <w:highlight w:val="white"/>
          <w:rtl w:val="0"/>
        </w:rPr>
        <w:t xml:space="preserve">Staff list kept up to date by Lynsey.</w:t>
      </w:r>
    </w:p>
    <w:p w:rsidR="00000000" w:rsidDel="00000000" w:rsidP="00000000" w:rsidRDefault="00000000" w:rsidRPr="00000000" w14:paraId="00000009">
      <w:pPr>
        <w:shd w:fill="ffffff" w:val="clear"/>
        <w:jc w:val="both"/>
        <w:rPr>
          <w:rFonts w:ascii="Calibri" w:cs="Calibri" w:eastAsia="Calibri" w:hAnsi="Calibri"/>
          <w:b w:val="1"/>
          <w:color w:val="00ff00"/>
          <w:sz w:val="24"/>
          <w:szCs w:val="24"/>
          <w:highlight w:val="white"/>
        </w:rPr>
      </w:pPr>
      <w:r w:rsidDel="00000000" w:rsidR="00000000" w:rsidRPr="00000000">
        <w:rPr>
          <w:rFonts w:ascii="Calibri" w:cs="Calibri" w:eastAsia="Calibri" w:hAnsi="Calibri"/>
          <w:b w:val="1"/>
          <w:color w:val="00ff00"/>
          <w:sz w:val="24"/>
          <w:szCs w:val="24"/>
          <w:highlight w:val="white"/>
          <w:rtl w:val="0"/>
        </w:rPr>
        <w:t xml:space="preserve">For new staff, DPE’s e-learning  GDPR training is  part of the induction process.</w:t>
      </w:r>
    </w:p>
    <w:p w:rsidR="00000000" w:rsidDel="00000000" w:rsidP="00000000" w:rsidRDefault="00000000" w:rsidRPr="00000000" w14:paraId="0000000A">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B">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0C">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rsidR="00000000" w:rsidDel="00000000" w:rsidP="00000000" w:rsidRDefault="00000000" w:rsidRPr="00000000" w14:paraId="0000000D">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0F">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0">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1">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2">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Publication scheme</w:t>
      </w:r>
    </w:p>
    <w:p w:rsidR="00000000" w:rsidDel="00000000" w:rsidP="00000000" w:rsidRDefault="00000000" w:rsidRPr="00000000" w14:paraId="00000013">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4">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documents to review are:</w:t>
      </w:r>
    </w:p>
    <w:p w:rsidR="00000000" w:rsidDel="00000000" w:rsidP="00000000" w:rsidRDefault="00000000" w:rsidRPr="00000000" w14:paraId="00000016">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17">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w:t>
      </w:r>
    </w:p>
    <w:p w:rsidR="00000000" w:rsidDel="00000000" w:rsidP="00000000" w:rsidRDefault="00000000" w:rsidRPr="00000000" w14:paraId="00000018">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data retention (section 5 below)  there is a records management best practice area  and documentation for records management and Information classification. If your data protection policy refers to these documents then you should also have these documents in place: </w:t>
      </w:r>
      <w:hyperlink r:id="rId6">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jc w:val="both"/>
        <w:rPr>
          <w:rFonts w:ascii="Calibri" w:cs="Calibri" w:eastAsia="Calibri" w:hAnsi="Calibri"/>
          <w:b w:val="1"/>
          <w:color w:val="00ff00"/>
          <w:sz w:val="24"/>
          <w:szCs w:val="24"/>
          <w:highlight w:val="white"/>
        </w:rPr>
      </w:pPr>
      <w:r w:rsidDel="00000000" w:rsidR="00000000" w:rsidRPr="00000000">
        <w:rPr>
          <w:rFonts w:ascii="Calibri" w:cs="Calibri" w:eastAsia="Calibri" w:hAnsi="Calibri"/>
          <w:b w:val="1"/>
          <w:color w:val="00ff00"/>
          <w:sz w:val="24"/>
          <w:szCs w:val="24"/>
          <w:highlight w:val="white"/>
          <w:rtl w:val="0"/>
        </w:rPr>
        <w:t xml:space="preserve">SL confirmed website GDPR documentation is up to date from reviewing the website prior to the visit.</w:t>
      </w:r>
    </w:p>
    <w:p w:rsidR="00000000" w:rsidDel="00000000" w:rsidP="00000000" w:rsidRDefault="00000000" w:rsidRPr="00000000" w14:paraId="0000001B">
      <w:pPr>
        <w:jc w:val="both"/>
        <w:rPr>
          <w:rFonts w:ascii="Calibri" w:cs="Calibri" w:eastAsia="Calibri" w:hAnsi="Calibri"/>
          <w:b w:val="1"/>
          <w:color w:val="00ff00"/>
          <w:sz w:val="24"/>
          <w:szCs w:val="24"/>
          <w:highlight w:val="white"/>
        </w:rPr>
      </w:pPr>
      <w:r w:rsidDel="00000000" w:rsidR="00000000" w:rsidRPr="00000000">
        <w:rPr>
          <w:rtl w:val="0"/>
        </w:rPr>
      </w:r>
    </w:p>
    <w:p w:rsidR="00000000" w:rsidDel="00000000" w:rsidP="00000000" w:rsidRDefault="00000000" w:rsidRPr="00000000" w14:paraId="0000001C">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1D">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1E">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F">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0">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1">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2">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3">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24">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25">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6">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27">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8">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8">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9">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hd w:fill="ffffff" w:val="clear"/>
        <w:rPr>
          <w:rFonts w:ascii="Calibri" w:cs="Calibri" w:eastAsia="Calibri" w:hAnsi="Calibri"/>
          <w:b w:val="1"/>
          <w:color w:val="00ff00"/>
          <w:sz w:val="24"/>
          <w:szCs w:val="24"/>
          <w:highlight w:val="white"/>
        </w:rPr>
      </w:pPr>
      <w:r w:rsidDel="00000000" w:rsidR="00000000" w:rsidRPr="00000000">
        <w:rPr>
          <w:rFonts w:ascii="Calibri" w:cs="Calibri" w:eastAsia="Calibri" w:hAnsi="Calibri"/>
          <w:b w:val="1"/>
          <w:color w:val="00ff00"/>
          <w:sz w:val="24"/>
          <w:szCs w:val="24"/>
          <w:highlight w:val="white"/>
          <w:rtl w:val="0"/>
        </w:rPr>
        <w:t xml:space="preserve">SL explained the project being completed by DPE. Lynsey to email dpo@ for any new suppliers. DPE compliance can then check to identify if a supplier due diligence form has already been completed. SL explained the relationship between the suppliers and RoP supplier/third party list.</w:t>
      </w:r>
    </w:p>
    <w:p w:rsidR="00000000" w:rsidDel="00000000" w:rsidP="00000000" w:rsidRDefault="00000000" w:rsidRPr="00000000" w14:paraId="0000002B">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2C">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2D">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2E">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9">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2F">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0">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10">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1">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2">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1">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3">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4">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35">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6">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2">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7">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8">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4">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3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3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widowControl w:val="0"/>
        <w:rPr>
          <w:rFonts w:ascii="Calibri" w:cs="Calibri" w:eastAsia="Calibri" w:hAnsi="Calibri"/>
          <w:sz w:val="24"/>
          <w:szCs w:val="24"/>
        </w:rPr>
      </w:pPr>
      <w:hyperlink r:id="rId16">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3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widowControl w:val="0"/>
        <w:rPr>
          <w:rFonts w:ascii="Calibri" w:cs="Calibri" w:eastAsia="Calibri" w:hAnsi="Calibri"/>
          <w:b w:val="1"/>
          <w:color w:val="00ff00"/>
          <w:sz w:val="24"/>
          <w:szCs w:val="24"/>
          <w:highlight w:val="white"/>
        </w:rPr>
      </w:pPr>
      <w:r w:rsidDel="00000000" w:rsidR="00000000" w:rsidRPr="00000000">
        <w:rPr>
          <w:rFonts w:ascii="Calibri" w:cs="Calibri" w:eastAsia="Calibri" w:hAnsi="Calibri"/>
          <w:b w:val="1"/>
          <w:color w:val="00ff00"/>
          <w:sz w:val="24"/>
          <w:szCs w:val="24"/>
          <w:highlight w:val="white"/>
          <w:rtl w:val="0"/>
        </w:rPr>
        <w:t xml:space="preserve">Staff have completed the NCSC stay safe online training and GDPR training.</w:t>
      </w:r>
    </w:p>
    <w:p w:rsidR="00000000" w:rsidDel="00000000" w:rsidP="00000000" w:rsidRDefault="00000000" w:rsidRPr="00000000" w14:paraId="0000003E">
      <w:pPr>
        <w:widowControl w:val="0"/>
        <w:rPr>
          <w:rFonts w:ascii="Calibri" w:cs="Calibri" w:eastAsia="Calibri" w:hAnsi="Calibri"/>
          <w:b w:val="1"/>
          <w:color w:val="00ff00"/>
          <w:sz w:val="24"/>
          <w:szCs w:val="24"/>
          <w:highlight w:val="white"/>
        </w:rPr>
      </w:pPr>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b w:val="1"/>
          <w:color w:val="00ff00"/>
          <w:sz w:val="22"/>
          <w:szCs w:val="22"/>
          <w:highlight w:val="white"/>
        </w:rPr>
      </w:pPr>
      <w:r w:rsidDel="00000000" w:rsidR="00000000" w:rsidRPr="00000000">
        <w:rPr>
          <w:rFonts w:ascii="Calibri" w:cs="Calibri" w:eastAsia="Calibri" w:hAnsi="Calibri"/>
          <w:b w:val="1"/>
          <w:color w:val="00ff00"/>
          <w:sz w:val="24"/>
          <w:szCs w:val="24"/>
          <w:highlight w:val="white"/>
          <w:rtl w:val="0"/>
        </w:rPr>
        <w:t xml:space="preserve">SL signposted Lynsey to the NCSC website and governor cyber security checklist that Lynsey will take to governors.</w:t>
      </w:r>
      <w:r w:rsidDel="00000000" w:rsidR="00000000" w:rsidRPr="00000000">
        <w:rPr>
          <w:rtl w:val="0"/>
        </w:rPr>
      </w:r>
    </w:p>
    <w:p w:rsidR="00000000" w:rsidDel="00000000" w:rsidP="00000000" w:rsidRDefault="00000000" w:rsidRPr="00000000" w14:paraId="00000040">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1">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2">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3">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4">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5">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6">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7">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8">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9">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A">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7">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B">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8">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4C">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4D">
      <w:pPr>
        <w:widowControl w:val="0"/>
        <w:numPr>
          <w:ilvl w:val="0"/>
          <w:numId w:val="1"/>
        </w:numPr>
        <w:spacing w:line="276" w:lineRule="auto"/>
        <w:ind w:left="720" w:hanging="360"/>
        <w:rPr>
          <w:rFonts w:ascii="Calibri" w:cs="Calibri" w:eastAsia="Calibri" w:hAnsi="Calibri"/>
          <w:sz w:val="24"/>
          <w:szCs w:val="24"/>
        </w:rPr>
      </w:pPr>
      <w:hyperlink r:id="rId20">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1">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2">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3">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3">
      <w:pPr>
        <w:widowControl w:val="0"/>
        <w:numPr>
          <w:ilvl w:val="0"/>
          <w:numId w:val="1"/>
        </w:numPr>
        <w:spacing w:line="276" w:lineRule="auto"/>
        <w:ind w:left="720" w:hanging="360"/>
        <w:rPr>
          <w:rFonts w:ascii="Calibri" w:cs="Calibri" w:eastAsia="Calibri" w:hAnsi="Calibri"/>
          <w:sz w:val="24"/>
          <w:szCs w:val="24"/>
        </w:rPr>
      </w:pPr>
      <w:hyperlink r:id="rId26">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4">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55">
      <w:pPr>
        <w:shd w:fill="ffffff" w:val="clear"/>
        <w:ind w:left="0" w:firstLine="0"/>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56">
      <w:pPr>
        <w:shd w:fill="ffffff" w:val="clear"/>
        <w:ind w:left="0" w:firstLine="0"/>
        <w:rPr>
          <w:rFonts w:ascii="Calibri" w:cs="Calibri" w:eastAsia="Calibri" w:hAnsi="Calibri"/>
          <w:b w:val="1"/>
          <w:color w:val="00ff00"/>
          <w:sz w:val="24"/>
          <w:szCs w:val="24"/>
          <w:highlight w:val="white"/>
        </w:rPr>
      </w:pPr>
      <w:r w:rsidDel="00000000" w:rsidR="00000000" w:rsidRPr="00000000">
        <w:rPr>
          <w:rFonts w:ascii="Calibri" w:cs="Calibri" w:eastAsia="Calibri" w:hAnsi="Calibri"/>
          <w:b w:val="1"/>
          <w:color w:val="00ff00"/>
          <w:sz w:val="24"/>
          <w:szCs w:val="24"/>
          <w:highlight w:val="white"/>
          <w:rtl w:val="0"/>
        </w:rPr>
        <w:t xml:space="preserve">SL completed a brief overview of the workshop slides and discussion of different methods of maintaining data retention within different systems.</w:t>
      </w:r>
    </w:p>
    <w:p w:rsidR="00000000" w:rsidDel="00000000" w:rsidP="00000000" w:rsidRDefault="00000000" w:rsidRPr="00000000" w14:paraId="00000057">
      <w:pPr>
        <w:shd w:fill="ffffff" w:val="clear"/>
        <w:ind w:left="0" w:firstLine="0"/>
        <w:rPr>
          <w:b w:val="1"/>
          <w:color w:val="00ff00"/>
          <w:sz w:val="22"/>
          <w:szCs w:val="22"/>
          <w:highlight w:val="white"/>
        </w:rPr>
      </w:pPr>
      <w:r w:rsidDel="00000000" w:rsidR="00000000" w:rsidRPr="00000000">
        <w:rPr>
          <w:rtl w:val="0"/>
        </w:rPr>
      </w:r>
    </w:p>
    <w:p w:rsidR="00000000" w:rsidDel="00000000" w:rsidP="00000000" w:rsidRDefault="00000000" w:rsidRPr="00000000" w14:paraId="00000058">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9">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7">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A">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C">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D">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w:t>
      </w:r>
      <w:hyperlink r:id="rId28">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F">
      <w:pPr>
        <w:jc w:val="both"/>
        <w:rPr>
          <w:rFonts w:ascii="Calibri" w:cs="Calibri" w:eastAsia="Calibri" w:hAnsi="Calibri"/>
          <w:b w:val="1"/>
          <w:color w:val="00ff00"/>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color w:val="00ff00"/>
          <w:sz w:val="24"/>
          <w:szCs w:val="24"/>
        </w:rPr>
      </w:pPr>
      <w:r w:rsidDel="00000000" w:rsidR="00000000" w:rsidRPr="00000000">
        <w:rPr>
          <w:rFonts w:ascii="Calibri" w:cs="Calibri" w:eastAsia="Calibri" w:hAnsi="Calibri"/>
          <w:b w:val="1"/>
          <w:color w:val="00ff00"/>
          <w:sz w:val="24"/>
          <w:szCs w:val="24"/>
          <w:highlight w:val="white"/>
          <w:rtl w:val="0"/>
        </w:rPr>
        <w:t xml:space="preserve">Webinars - signposted Lynsey to the data retention and phishing webinars.</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2">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Demonstration of the latest features, reporting functions and updates.</w:t>
      </w:r>
      <w:r w:rsidDel="00000000" w:rsidR="00000000" w:rsidRPr="00000000">
        <w:rPr>
          <w:rtl w:val="0"/>
        </w:rPr>
      </w:r>
    </w:p>
    <w:p w:rsidR="00000000" w:rsidDel="00000000" w:rsidP="00000000" w:rsidRDefault="00000000" w:rsidRPr="00000000" w14:paraId="00000064">
      <w:pPr>
        <w:jc w:val="both"/>
        <w:rPr>
          <w:color w:val="222222"/>
          <w:sz w:val="22"/>
          <w:szCs w:val="22"/>
          <w:highlight w:val="white"/>
        </w:rPr>
      </w:pPr>
      <w:r w:rsidDel="00000000" w:rsidR="00000000" w:rsidRPr="00000000">
        <w:rPr>
          <w:color w:val="222222"/>
          <w:sz w:val="22"/>
          <w:szCs w:val="22"/>
          <w:highlight w:val="white"/>
          <w:rtl w:val="0"/>
        </w:rPr>
        <w:t xml:space="preserve">RoP - mapped across some ROPs and explained the new layout. Demonstration of the reports function and </w:t>
      </w:r>
    </w:p>
    <w:p w:rsidR="00000000" w:rsidDel="00000000" w:rsidP="00000000" w:rsidRDefault="00000000" w:rsidRPr="00000000" w14:paraId="00000065">
      <w:pPr>
        <w:jc w:val="both"/>
        <w:rPr>
          <w:rFonts w:ascii="Calibri" w:cs="Calibri" w:eastAsia="Calibri" w:hAnsi="Calibri"/>
          <w:b w:val="1"/>
          <w:color w:val="00ff00"/>
          <w:sz w:val="24"/>
          <w:szCs w:val="24"/>
          <w:highlight w:val="white"/>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color w:val="00ff00"/>
          <w:sz w:val="26"/>
          <w:szCs w:val="26"/>
          <w:highlight w:val="white"/>
        </w:rPr>
      </w:pPr>
      <w:r w:rsidDel="00000000" w:rsidR="00000000" w:rsidRPr="00000000">
        <w:rPr>
          <w:rFonts w:ascii="Calibri" w:cs="Calibri" w:eastAsia="Calibri" w:hAnsi="Calibri"/>
          <w:b w:val="1"/>
          <w:color w:val="00ff00"/>
          <w:sz w:val="24"/>
          <w:szCs w:val="24"/>
          <w:highlight w:val="white"/>
          <w:rtl w:val="0"/>
        </w:rPr>
        <w:t xml:space="preserve">RoP for pre-admissions completed. Lynsey can start to make use of the RoP when introducing new systems and when completing data risk assessments.</w:t>
      </w:r>
      <w:r w:rsidDel="00000000" w:rsidR="00000000" w:rsidRPr="00000000">
        <w:rPr>
          <w:rtl w:val="0"/>
        </w:rPr>
      </w:r>
    </w:p>
    <w:sectPr>
      <w:headerReference r:id="rId2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hyperlink" Target="https://www.legislation.gov.uk/ukpga/1980/58" TargetMode="External"/><Relationship Id="rId21" Type="http://schemas.openxmlformats.org/officeDocument/2006/relationships/hyperlink" Target="https://dataprotection.education/index.php?option=com_tjucm&amp;view=items&amp;client=com_tjucm.rop&amp;filter_process=generic&amp;Itemid=1258" TargetMode="External"/><Relationship Id="rId24" Type="http://schemas.openxmlformats.org/officeDocument/2006/relationships/hyperlink" Target="https://docs.microsoft.com/en-us/microsoft-365/compliance/retention?view=o365-worldwide" TargetMode="External"/><Relationship Id="rId23" Type="http://schemas.openxmlformats.org/officeDocument/2006/relationships/hyperlink" Target="https://www.legislation.gov.uk/uksi/2021/833/contents/ma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best-practice-library/documents/information-technology-security"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25" Type="http://schemas.openxmlformats.org/officeDocument/2006/relationships/hyperlink" Target="https://support.google.com/vault/answer/2990828?hl=en" TargetMode="External"/><Relationship Id="rId28" Type="http://schemas.openxmlformats.org/officeDocument/2006/relationships/hyperlink" Target="https://dataprotection.education/courses-heading/dpe-events" TargetMode="External"/><Relationship Id="rId27" Type="http://schemas.openxmlformats.org/officeDocument/2006/relationships/hyperlink" Target="https://dataprotection.education/courses-heading/making-the-rounds-log" TargetMode="External"/><Relationship Id="rId5" Type="http://schemas.openxmlformats.org/officeDocument/2006/relationships/styles" Target="styles.xml"/><Relationship Id="rId6" Type="http://schemas.openxmlformats.org/officeDocument/2006/relationships/hyperlink" Target="https://dataprotection.education/best-practice-library/best-practice/records-management" TargetMode="External"/><Relationship Id="rId29" Type="http://schemas.openxmlformats.org/officeDocument/2006/relationships/header" Target="header1.xm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news-top/news/231-the-importance-of-carrying-out-supplier-due-diligence" TargetMode="External"/><Relationship Id="rId11" Type="http://schemas.openxmlformats.org/officeDocument/2006/relationships/hyperlink" Target="https://dataprotection.education/index.php/best-practice-library/best-practice/information-classification" TargetMode="External"/><Relationship Id="rId10" Type="http://schemas.openxmlformats.org/officeDocument/2006/relationships/hyperlink" Target="https://dataprotection.education/courses-heading/stay-safe-online-ncsc" TargetMode="External"/><Relationship Id="rId13" Type="http://schemas.openxmlformats.org/officeDocument/2006/relationships/hyperlink" Target="https://www.ncsc.gov.uk/section/education-skills/schools" TargetMode="External"/><Relationship Id="rId12" Type="http://schemas.openxmlformats.org/officeDocument/2006/relationships/hyperlink" Target="http://ncsc.gov.uk/" TargetMode="External"/><Relationship Id="rId15" Type="http://schemas.openxmlformats.org/officeDocument/2006/relationships/hyperlink" Target="https://dataprotection.education/news/166-information-security/203-the-education-sector-now-at-highest-risk-of-cyber-attacks" TargetMode="External"/><Relationship Id="rId14" Type="http://schemas.openxmlformats.org/officeDocument/2006/relationships/hyperlink" Target="https://www.ncsc.gov.uk/information/school-governor-questions" TargetMode="External"/><Relationship Id="rId17" Type="http://schemas.openxmlformats.org/officeDocument/2006/relationships/hyperlink" Target="https://irms.org.uk/page/SchoolsToolkit" TargetMode="External"/><Relationship Id="rId16" Type="http://schemas.openxmlformats.org/officeDocument/2006/relationships/hyperlink" Target="https://dataprotection.education/news/166-information-security/220-assessing-the-state-of-your-data-security" TargetMode="External"/><Relationship Id="rId19"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8" Type="http://schemas.openxmlformats.org/officeDocument/2006/relationships/hyperlink" Target="https://dataprotection.education/index.php/best-practice-library/best-practice/records-manag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