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770E14DF"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F67633">
        <w:rPr>
          <w:rFonts w:ascii="Calibri" w:hAnsi="Calibri" w:cs="Calibri"/>
          <w:b w:val="0"/>
          <w:bCs/>
          <w:color w:val="4BACC6" w:themeColor="accent5"/>
          <w:sz w:val="32"/>
          <w:szCs w:val="32"/>
        </w:rPr>
        <w:t>Trumps Green Infants</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F67633">
        <w:rPr>
          <w:rFonts w:ascii="Calibri" w:hAnsi="Calibri" w:cs="Calibri"/>
          <w:b w:val="0"/>
          <w:bCs/>
          <w:color w:val="4BACC6" w:themeColor="accent5"/>
          <w:sz w:val="32"/>
          <w:szCs w:val="32"/>
        </w:rPr>
        <w:t>25.04</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3F2F195D"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F67633">
        <w:rPr>
          <w:rFonts w:ascii="Calibri" w:eastAsia="Calibri" w:hAnsi="Calibri" w:cs="Calibri"/>
          <w:bCs/>
          <w:color w:val="4BACC6" w:themeColor="accent5"/>
          <w:sz w:val="32"/>
          <w:szCs w:val="32"/>
        </w:rPr>
        <w:t>Caroline Lee</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2062937A"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7332D465" w14:textId="77777777" w:rsidR="006A7719" w:rsidRPr="00195D96" w:rsidRDefault="006A7719" w:rsidP="006A7719">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Information security and e-learning training</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D6DC0D7" w14:textId="246FDE36" w:rsidR="00EA38A9" w:rsidRPr="00195D96" w:rsidRDefault="007E6C25" w:rsidP="00F6187D">
      <w:pPr>
        <w:ind w:left="567"/>
        <w:rPr>
          <w:rFonts w:ascii="Calibri" w:eastAsia="Calibri" w:hAnsi="Calibri" w:cs="Calibri"/>
          <w:color w:val="222222"/>
          <w:sz w:val="24"/>
          <w:szCs w:val="24"/>
          <w:highlight w:val="white"/>
        </w:rPr>
      </w:pPr>
      <w:r>
        <w:rPr>
          <w:rFonts w:ascii="Calibri" w:eastAsia="Calibri" w:hAnsi="Calibri" w:cs="Calibri"/>
          <w:sz w:val="24"/>
          <w:szCs w:val="24"/>
        </w:rPr>
        <w:t>Check all new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remove leavers: D</w:t>
      </w:r>
      <w:r w:rsidR="00913FAF" w:rsidRPr="00195D96">
        <w:rPr>
          <w:rFonts w:ascii="Calibri" w:eastAsia="Calibri" w:hAnsi="Calibri" w:cs="Calibri"/>
          <w:sz w:val="24"/>
          <w:szCs w:val="24"/>
        </w:rPr>
        <w:t>PE dashboard&gt;users&gt;add staff, either manually or bulk import.</w:t>
      </w:r>
      <w:r w:rsidR="00913FAF" w:rsidRPr="00195D96">
        <w:rPr>
          <w:rFonts w:ascii="Calibri" w:eastAsia="Calibri" w:hAnsi="Calibri" w:cs="Calibri"/>
          <w:color w:val="595959"/>
          <w:sz w:val="24"/>
          <w:szCs w:val="24"/>
        </w:rPr>
        <w:t xml:space="preserve"> </w:t>
      </w:r>
      <w:proofErr w:type="spellStart"/>
      <w:r w:rsidR="00913FAF" w:rsidRPr="00195D96">
        <w:rPr>
          <w:rFonts w:ascii="Calibri" w:eastAsia="Calibri" w:hAnsi="Calibri" w:cs="Calibri"/>
          <w:sz w:val="24"/>
          <w:szCs w:val="24"/>
        </w:rPr>
        <w:t>Kalina</w:t>
      </w:r>
      <w:proofErr w:type="spellEnd"/>
      <w:r w:rsidR="00913FAF" w:rsidRPr="00195D96">
        <w:rPr>
          <w:rFonts w:ascii="Calibri" w:eastAsia="Calibri" w:hAnsi="Calibri" w:cs="Calibri"/>
          <w:sz w:val="24"/>
          <w:szCs w:val="24"/>
        </w:rPr>
        <w:t xml:space="preserve"> at DPE (client support) is here to help you and can be contacted for support at: </w:t>
      </w:r>
      <w:proofErr w:type="spellStart"/>
      <w:r w:rsidR="00913FAF" w:rsidRPr="00195D96">
        <w:rPr>
          <w:rFonts w:ascii="Calibri" w:eastAsia="Calibri" w:hAnsi="Calibri" w:cs="Calibri"/>
          <w:sz w:val="24"/>
          <w:szCs w:val="24"/>
        </w:rPr>
        <w:t>ka</w:t>
      </w:r>
      <w:r w:rsidR="00913FAF" w:rsidRPr="00195D96">
        <w:rPr>
          <w:rFonts w:ascii="Calibri" w:eastAsia="Calibri" w:hAnsi="Calibri" w:cs="Calibri"/>
          <w:color w:val="222222"/>
          <w:sz w:val="24"/>
          <w:szCs w:val="24"/>
          <w:highlight w:val="white"/>
        </w:rPr>
        <w:t>lina.voyvodova@dataprotection.education</w:t>
      </w:r>
      <w:proofErr w:type="spellEnd"/>
      <w:r w:rsidR="00913FAF" w:rsidRPr="00195D96">
        <w:rPr>
          <w:rFonts w:ascii="Calibri" w:eastAsia="Calibri" w:hAnsi="Calibri" w:cs="Calibri"/>
          <w:color w:val="222222"/>
          <w:sz w:val="24"/>
          <w:szCs w:val="24"/>
          <w:highlight w:val="white"/>
        </w:rPr>
        <w:t>.</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1A34C2BB" w14:textId="218A1172" w:rsidR="00DF5BB8" w:rsidRDefault="006A7719" w:rsidP="007E6C25">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Incorporate</w:t>
      </w:r>
      <w:r w:rsidR="00D477D3">
        <w:rPr>
          <w:rFonts w:ascii="Calibri" w:eastAsia="Calibri" w:hAnsi="Calibri" w:cs="Calibri"/>
          <w:color w:val="222222"/>
          <w:sz w:val="24"/>
          <w:szCs w:val="24"/>
          <w:highlight w:val="white"/>
        </w:rPr>
        <w:t xml:space="preserve"> GDPR training </w:t>
      </w:r>
      <w:r>
        <w:rPr>
          <w:rFonts w:ascii="Calibri" w:eastAsia="Calibri" w:hAnsi="Calibri" w:cs="Calibri"/>
          <w:color w:val="222222"/>
          <w:sz w:val="24"/>
          <w:szCs w:val="24"/>
          <w:highlight w:val="white"/>
        </w:rPr>
        <w:t>a</w:t>
      </w:r>
      <w:r w:rsidR="00D477D3">
        <w:rPr>
          <w:rFonts w:ascii="Calibri" w:eastAsia="Calibri" w:hAnsi="Calibri" w:cs="Calibri"/>
          <w:color w:val="222222"/>
          <w:sz w:val="24"/>
          <w:szCs w:val="24"/>
          <w:highlight w:val="white"/>
        </w:rPr>
        <w:t>s part of</w:t>
      </w:r>
      <w:r w:rsidR="00DA1891">
        <w:rPr>
          <w:rFonts w:ascii="Calibri" w:eastAsia="Calibri" w:hAnsi="Calibri" w:cs="Calibri"/>
          <w:color w:val="222222"/>
          <w:sz w:val="24"/>
          <w:szCs w:val="24"/>
          <w:highlight w:val="white"/>
        </w:rPr>
        <w:t xml:space="preserve"> the Induction process</w:t>
      </w:r>
      <w:r w:rsidR="00D477D3">
        <w:rPr>
          <w:rFonts w:ascii="Calibri" w:eastAsia="Calibri" w:hAnsi="Calibri" w:cs="Calibri"/>
          <w:color w:val="222222"/>
          <w:sz w:val="24"/>
          <w:szCs w:val="24"/>
          <w:highlight w:val="white"/>
        </w:rPr>
        <w:t xml:space="preserve"> for new staff</w:t>
      </w:r>
      <w:r w:rsidR="00160C8F">
        <w:rPr>
          <w:rFonts w:ascii="Calibri" w:eastAsia="Calibri" w:hAnsi="Calibri" w:cs="Calibri"/>
          <w:color w:val="222222"/>
          <w:sz w:val="24"/>
          <w:szCs w:val="24"/>
          <w:highlight w:val="white"/>
        </w:rPr>
        <w:t>, if not already</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7E6C25">
        <w:rPr>
          <w:rFonts w:ascii="Calibri" w:eastAsia="Calibri" w:hAnsi="Calibri" w:cs="Calibri"/>
          <w:color w:val="222222"/>
          <w:sz w:val="24"/>
          <w:szCs w:val="24"/>
          <w:highlight w:val="white"/>
        </w:rPr>
        <w:t xml:space="preserve">  </w:t>
      </w:r>
      <w:r w:rsidR="00DF5BB8">
        <w:rPr>
          <w:rFonts w:ascii="Calibri" w:eastAsia="Calibri" w:hAnsi="Calibri" w:cs="Calibri"/>
          <w:color w:val="222222"/>
          <w:sz w:val="24"/>
          <w:szCs w:val="24"/>
          <w:highlight w:val="white"/>
        </w:rPr>
        <w:t xml:space="preserve">I would recommend all staff </w:t>
      </w:r>
      <w:r w:rsidR="007E6C25">
        <w:rPr>
          <w:rFonts w:ascii="Calibri" w:eastAsia="Calibri" w:hAnsi="Calibri" w:cs="Calibri"/>
          <w:color w:val="222222"/>
          <w:sz w:val="24"/>
          <w:szCs w:val="24"/>
          <w:highlight w:val="white"/>
        </w:rPr>
        <w:t>complete</w:t>
      </w:r>
      <w:r w:rsidR="00DF5BB8">
        <w:rPr>
          <w:rFonts w:ascii="Calibri" w:eastAsia="Calibri" w:hAnsi="Calibri" w:cs="Calibri"/>
          <w:color w:val="222222"/>
          <w:sz w:val="24"/>
          <w:szCs w:val="24"/>
          <w:highlight w:val="white"/>
        </w:rPr>
        <w:t xml:space="preserve"> the two new modules, in addition to Stay Safe Online NCSC and Clear Desk.</w:t>
      </w:r>
      <w:r w:rsidR="007E6C25">
        <w:rPr>
          <w:rFonts w:ascii="Calibri" w:eastAsia="Calibri" w:hAnsi="Calibri" w:cs="Calibri"/>
          <w:color w:val="222222"/>
          <w:sz w:val="24"/>
          <w:szCs w:val="24"/>
          <w:highlight w:val="white"/>
        </w:rPr>
        <w:t xml:space="preserve">  Admin staff would also benefit from Subject Access Requests course.  </w:t>
      </w:r>
      <w:hyperlink r:id="rId7" w:history="1">
        <w:r w:rsidR="007E6C25">
          <w:rPr>
            <w:rStyle w:val="Hyperlink"/>
          </w:rPr>
          <w:t>My Courses (</w:t>
        </w:r>
        <w:proofErr w:type="spellStart"/>
        <w:r w:rsidR="007E6C25">
          <w:rPr>
            <w:rStyle w:val="Hyperlink"/>
          </w:rPr>
          <w:t>dataprotection.education</w:t>
        </w:r>
        <w:proofErr w:type="spellEnd"/>
        <w:r w:rsidR="007E6C25">
          <w:rPr>
            <w:rStyle w:val="Hyperlink"/>
          </w:rPr>
          <w:t>)</w:t>
        </w:r>
      </w:hyperlink>
      <w:r w:rsidR="007E6C25">
        <w:rPr>
          <w:rFonts w:ascii="Calibri" w:eastAsia="Calibri" w:hAnsi="Calibri" w:cs="Calibri"/>
          <w:color w:val="222222"/>
          <w:sz w:val="24"/>
          <w:szCs w:val="24"/>
          <w:highlight w:val="white"/>
        </w:rPr>
        <w:t xml:space="preserve"> </w:t>
      </w:r>
    </w:p>
    <w:p w14:paraId="1CE973B3" w14:textId="43086D33" w:rsidR="00B87A99" w:rsidRDefault="00B87A99" w:rsidP="007E6C25">
      <w:pPr>
        <w:shd w:val="clear" w:color="auto" w:fill="FFFFFF"/>
        <w:ind w:left="567"/>
        <w:rPr>
          <w:rFonts w:ascii="Calibri" w:eastAsia="Calibri" w:hAnsi="Calibri" w:cs="Calibri"/>
          <w:color w:val="222222"/>
          <w:sz w:val="24"/>
          <w:szCs w:val="24"/>
          <w:highlight w:val="white"/>
        </w:rPr>
      </w:pPr>
    </w:p>
    <w:p w14:paraId="355208D5" w14:textId="5B9938AA" w:rsidR="00B87A99" w:rsidRDefault="00B87A99" w:rsidP="007E6C25">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 xml:space="preserve">All staff have undertaken the ‘Data Breaches Course’ &amp; GDPR Refresh </w:t>
      </w:r>
      <w:r w:rsidR="00160C8F">
        <w:rPr>
          <w:rFonts w:ascii="Calibri" w:eastAsia="Calibri" w:hAnsi="Calibri" w:cs="Calibri"/>
          <w:color w:val="222222"/>
          <w:sz w:val="24"/>
          <w:szCs w:val="24"/>
          <w:highlight w:val="white"/>
        </w:rPr>
        <w:t>(</w:t>
      </w:r>
      <w:r>
        <w:rPr>
          <w:rFonts w:ascii="Calibri" w:eastAsia="Calibri" w:hAnsi="Calibri" w:cs="Calibri"/>
          <w:color w:val="222222"/>
          <w:sz w:val="24"/>
          <w:szCs w:val="24"/>
          <w:highlight w:val="white"/>
        </w:rPr>
        <w:t>1 incomplete</w:t>
      </w:r>
      <w:r w:rsidR="00160C8F">
        <w:rPr>
          <w:rFonts w:ascii="Calibri" w:eastAsia="Calibri" w:hAnsi="Calibri" w:cs="Calibri"/>
          <w:color w:val="222222"/>
          <w:sz w:val="24"/>
          <w:szCs w:val="24"/>
          <w:highlight w:val="white"/>
        </w:rPr>
        <w:t xml:space="preserve">, may need chasing up to finish it off - </w:t>
      </w:r>
      <w:r>
        <w:rPr>
          <w:rFonts w:ascii="Calibri" w:eastAsia="Calibri" w:hAnsi="Calibri" w:cs="Calibri"/>
          <w:color w:val="222222"/>
          <w:sz w:val="24"/>
          <w:szCs w:val="24"/>
          <w:highlight w:val="white"/>
        </w:rPr>
        <w:t>Kay Crook)</w:t>
      </w:r>
    </w:p>
    <w:p w14:paraId="7E14C64B" w14:textId="77777777" w:rsidR="00B87A99" w:rsidRPr="007E6C25" w:rsidRDefault="00B87A99" w:rsidP="007E6C25">
      <w:pPr>
        <w:shd w:val="clear" w:color="auto" w:fill="FFFFFF"/>
        <w:ind w:left="567"/>
        <w:rPr>
          <w:rFonts w:ascii="Calibri" w:eastAsia="Calibri" w:hAnsi="Calibri" w:cs="Calibri"/>
          <w:color w:val="222222"/>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253D91E1"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 it is good practice to have a GDPR section on your website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59A917F6" w:rsidR="00EA38A9" w:rsidRPr="00195D96" w:rsidRDefault="00B82B1B" w:rsidP="00F6187D">
      <w:pPr>
        <w:numPr>
          <w:ilvl w:val="0"/>
          <w:numId w:val="6"/>
        </w:numPr>
        <w:ind w:left="1134" w:hanging="567"/>
        <w:rPr>
          <w:rFonts w:ascii="Calibri" w:eastAsia="Calibri" w:hAnsi="Calibri" w:cs="Calibri"/>
          <w:sz w:val="24"/>
          <w:szCs w:val="24"/>
        </w:rPr>
      </w:pPr>
      <w:r>
        <w:rPr>
          <w:rFonts w:ascii="Calibri" w:eastAsia="Calibri" w:hAnsi="Calibri" w:cs="Calibri"/>
          <w:sz w:val="24"/>
          <w:szCs w:val="24"/>
        </w:rPr>
        <w:t>Data Protection</w:t>
      </w:r>
      <w:r w:rsidR="00913FAF" w:rsidRPr="00195D96">
        <w:rPr>
          <w:rFonts w:ascii="Calibri" w:eastAsia="Calibri" w:hAnsi="Calibri" w:cs="Calibri"/>
          <w:sz w:val="24"/>
          <w:szCs w:val="24"/>
        </w:rPr>
        <w:t xml:space="preserve"> </w:t>
      </w:r>
      <w:r>
        <w:rPr>
          <w:rFonts w:ascii="Calibri" w:eastAsia="Calibri" w:hAnsi="Calibri" w:cs="Calibri"/>
          <w:sz w:val="24"/>
          <w:szCs w:val="24"/>
        </w:rPr>
        <w:t>P</w:t>
      </w:r>
      <w:r w:rsidR="00913FAF" w:rsidRPr="00195D96">
        <w:rPr>
          <w:rFonts w:ascii="Calibri" w:eastAsia="Calibri" w:hAnsi="Calibri" w:cs="Calibri"/>
          <w:sz w:val="24"/>
          <w:szCs w:val="24"/>
        </w:rPr>
        <w:t>olicy</w:t>
      </w:r>
      <w:r w:rsidR="00FC54AB">
        <w:rPr>
          <w:rFonts w:ascii="Calibri" w:eastAsia="Calibri" w:hAnsi="Calibri" w:cs="Calibri"/>
          <w:sz w:val="24"/>
          <w:szCs w:val="24"/>
        </w:rPr>
        <w:t xml:space="preserve"> – </w:t>
      </w:r>
      <w:r>
        <w:rPr>
          <w:rFonts w:ascii="Calibri" w:eastAsia="Calibri" w:hAnsi="Calibri" w:cs="Calibri"/>
          <w:sz w:val="24"/>
          <w:szCs w:val="24"/>
        </w:rPr>
        <w:t xml:space="preserve">published and current (due for review </w:t>
      </w:r>
      <w:r w:rsidR="00B87A99">
        <w:rPr>
          <w:rFonts w:ascii="Calibri" w:eastAsia="Calibri" w:hAnsi="Calibri" w:cs="Calibri"/>
          <w:sz w:val="24"/>
          <w:szCs w:val="24"/>
        </w:rPr>
        <w:t>April</w:t>
      </w:r>
      <w:r>
        <w:rPr>
          <w:rFonts w:ascii="Calibri" w:eastAsia="Calibri" w:hAnsi="Calibri" w:cs="Calibri"/>
          <w:sz w:val="24"/>
          <w:szCs w:val="24"/>
        </w:rPr>
        <w:t xml:space="preserve"> 2022)</w:t>
      </w:r>
    </w:p>
    <w:p w14:paraId="1DDFF4A4" w14:textId="5CF5F874" w:rsidR="00EA38A9"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w:t>
      </w:r>
      <w:r w:rsidR="00B82B1B">
        <w:rPr>
          <w:rFonts w:ascii="Calibri" w:eastAsia="Calibri" w:hAnsi="Calibri" w:cs="Calibri"/>
          <w:sz w:val="24"/>
          <w:szCs w:val="24"/>
        </w:rPr>
        <w:t xml:space="preserve"> – published and current </w:t>
      </w:r>
      <w:r w:rsidR="00B87A99">
        <w:rPr>
          <w:rFonts w:ascii="Calibri" w:eastAsia="Calibri" w:hAnsi="Calibri" w:cs="Calibri"/>
          <w:sz w:val="24"/>
          <w:szCs w:val="24"/>
        </w:rPr>
        <w:t>for Pupils/Parent (W</w:t>
      </w:r>
      <w:r w:rsidR="00B82B1B">
        <w:rPr>
          <w:rFonts w:ascii="Calibri" w:eastAsia="Calibri" w:hAnsi="Calibri" w:cs="Calibri"/>
          <w:sz w:val="24"/>
          <w:szCs w:val="24"/>
        </w:rPr>
        <w:t>orkforce</w:t>
      </w:r>
      <w:r w:rsidR="00B87A99">
        <w:rPr>
          <w:rFonts w:ascii="Calibri" w:eastAsia="Calibri" w:hAnsi="Calibri" w:cs="Calibri"/>
          <w:sz w:val="24"/>
          <w:szCs w:val="24"/>
        </w:rPr>
        <w:t xml:space="preserve"> &amp; General separate??</w:t>
      </w:r>
      <w:r w:rsidR="00B82B1B">
        <w:rPr>
          <w:rFonts w:ascii="Calibri" w:eastAsia="Calibri" w:hAnsi="Calibri" w:cs="Calibri"/>
          <w:sz w:val="24"/>
          <w:szCs w:val="24"/>
        </w:rPr>
        <w:t>)</w:t>
      </w:r>
      <w:r w:rsidR="00BF2499">
        <w:rPr>
          <w:rFonts w:ascii="Calibri" w:eastAsia="Calibri" w:hAnsi="Calibri" w:cs="Calibri"/>
          <w:sz w:val="24"/>
          <w:szCs w:val="24"/>
        </w:rPr>
        <w:t xml:space="preserve"> Do you have a list of third-party suppliers should a parent ask for it?</w:t>
      </w:r>
    </w:p>
    <w:p w14:paraId="67F4ACDC" w14:textId="69E9E54D" w:rsidR="00B82B1B" w:rsidRPr="00195D96" w:rsidRDefault="00B82B1B" w:rsidP="00B82B1B">
      <w:pPr>
        <w:numPr>
          <w:ilvl w:val="1"/>
          <w:numId w:val="6"/>
        </w:numPr>
        <w:rPr>
          <w:rFonts w:ascii="Calibri" w:eastAsia="Calibri" w:hAnsi="Calibri" w:cs="Calibri"/>
          <w:sz w:val="24"/>
          <w:szCs w:val="24"/>
        </w:rPr>
      </w:pPr>
      <w:r>
        <w:rPr>
          <w:rFonts w:ascii="Calibri" w:eastAsia="Calibri" w:hAnsi="Calibri" w:cs="Calibri"/>
          <w:sz w:val="24"/>
          <w:szCs w:val="24"/>
        </w:rPr>
        <w:t>Could consider a child friendly notice?</w:t>
      </w:r>
      <w:r w:rsidR="00160C8F">
        <w:rPr>
          <w:rFonts w:ascii="Calibri" w:eastAsia="Calibri" w:hAnsi="Calibri" w:cs="Calibri"/>
          <w:sz w:val="24"/>
          <w:szCs w:val="24"/>
        </w:rPr>
        <w:t xml:space="preserve"> Can be found here </w:t>
      </w:r>
      <w:hyperlink r:id="rId8" w:history="1">
        <w:r w:rsidR="00160C8F">
          <w:rPr>
            <w:rStyle w:val="Hyperlink"/>
          </w:rPr>
          <w:t>Transparency (</w:t>
        </w:r>
        <w:proofErr w:type="spellStart"/>
        <w:r w:rsidR="00160C8F">
          <w:rPr>
            <w:rStyle w:val="Hyperlink"/>
          </w:rPr>
          <w:t>dataprotection.education</w:t>
        </w:r>
        <w:proofErr w:type="spellEnd"/>
        <w:r w:rsidR="00160C8F">
          <w:rPr>
            <w:rStyle w:val="Hyperlink"/>
          </w:rPr>
          <w:t>)</w:t>
        </w:r>
      </w:hyperlink>
    </w:p>
    <w:p w14:paraId="33B903EE" w14:textId="70325F16" w:rsidR="00EA38A9" w:rsidRPr="007E6C25" w:rsidRDefault="00913FAF" w:rsidP="00F6187D">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SAR and data breach procedure</w:t>
      </w:r>
      <w:r w:rsidR="002C0202" w:rsidRPr="007E6C25">
        <w:rPr>
          <w:rFonts w:ascii="Calibri" w:eastAsia="Calibri" w:hAnsi="Calibri" w:cs="Calibri"/>
          <w:sz w:val="24"/>
          <w:szCs w:val="24"/>
        </w:rPr>
        <w:t xml:space="preserve"> </w:t>
      </w:r>
      <w:r w:rsidR="00B82B1B">
        <w:rPr>
          <w:rFonts w:ascii="Calibri" w:eastAsia="Calibri" w:hAnsi="Calibri" w:cs="Calibri"/>
          <w:sz w:val="24"/>
          <w:szCs w:val="24"/>
        </w:rPr>
        <w:t>are not published – are they used internally?</w:t>
      </w:r>
      <w:r w:rsidR="00160C8F">
        <w:rPr>
          <w:rFonts w:ascii="Calibri" w:eastAsia="Calibri" w:hAnsi="Calibri" w:cs="Calibri"/>
          <w:sz w:val="24"/>
          <w:szCs w:val="24"/>
        </w:rPr>
        <w:t xml:space="preserve"> Templates can be found here </w:t>
      </w:r>
      <w:hyperlink r:id="rId9" w:history="1">
        <w:r w:rsidR="00160C8F">
          <w:rPr>
            <w:rStyle w:val="Hyperlink"/>
          </w:rPr>
          <w:t>Commitment to compliance (</w:t>
        </w:r>
        <w:proofErr w:type="spellStart"/>
        <w:r w:rsidR="00160C8F">
          <w:rPr>
            <w:rStyle w:val="Hyperlink"/>
          </w:rPr>
          <w:t>dataprotection.education</w:t>
        </w:r>
        <w:proofErr w:type="spellEnd"/>
        <w:r w:rsidR="00160C8F">
          <w:rPr>
            <w:rStyle w:val="Hyperlink"/>
          </w:rPr>
          <w:t>)</w:t>
        </w:r>
      </w:hyperlink>
    </w:p>
    <w:p w14:paraId="2051C492" w14:textId="18857C6C" w:rsidR="00EA38A9"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lastRenderedPageBreak/>
        <w:t>FOI and publication scheme</w:t>
      </w:r>
      <w:r w:rsidR="00DA1891" w:rsidRPr="007E6C25">
        <w:rPr>
          <w:rFonts w:ascii="Calibri" w:eastAsia="Calibri" w:hAnsi="Calibri" w:cs="Calibri"/>
          <w:sz w:val="24"/>
          <w:szCs w:val="24"/>
        </w:rPr>
        <w:t xml:space="preserve"> </w:t>
      </w:r>
      <w:r w:rsidR="007E6C25">
        <w:rPr>
          <w:rFonts w:ascii="Calibri" w:eastAsia="Calibri" w:hAnsi="Calibri" w:cs="Calibri"/>
          <w:sz w:val="24"/>
          <w:szCs w:val="24"/>
        </w:rPr>
        <w:t xml:space="preserve">are </w:t>
      </w:r>
      <w:r w:rsidR="00B87A99">
        <w:rPr>
          <w:rFonts w:ascii="Calibri" w:eastAsia="Calibri" w:hAnsi="Calibri" w:cs="Calibri"/>
          <w:sz w:val="24"/>
          <w:szCs w:val="24"/>
        </w:rPr>
        <w:t xml:space="preserve">not </w:t>
      </w:r>
      <w:r w:rsidR="00D477D3" w:rsidRPr="007E6C25">
        <w:rPr>
          <w:rFonts w:ascii="Calibri" w:eastAsia="Calibri" w:hAnsi="Calibri" w:cs="Calibri"/>
          <w:sz w:val="24"/>
          <w:szCs w:val="24"/>
        </w:rPr>
        <w:t>published on website</w:t>
      </w:r>
      <w:r w:rsidR="00160C8F">
        <w:rPr>
          <w:rFonts w:ascii="Calibri" w:eastAsia="Calibri" w:hAnsi="Calibri" w:cs="Calibri"/>
          <w:sz w:val="24"/>
          <w:szCs w:val="24"/>
        </w:rPr>
        <w:t xml:space="preserve">. Templates available here </w:t>
      </w:r>
      <w:hyperlink r:id="rId10" w:history="1">
        <w:r w:rsidR="00160C8F">
          <w:rPr>
            <w:rStyle w:val="Hyperlink"/>
          </w:rPr>
          <w:t>Freedom of Information (</w:t>
        </w:r>
        <w:proofErr w:type="spellStart"/>
        <w:r w:rsidR="00160C8F">
          <w:rPr>
            <w:rStyle w:val="Hyperlink"/>
          </w:rPr>
          <w:t>dataprotection.education</w:t>
        </w:r>
        <w:proofErr w:type="spellEnd"/>
        <w:r w:rsidR="00160C8F">
          <w:rPr>
            <w:rStyle w:val="Hyperlink"/>
          </w:rPr>
          <w:t>)</w:t>
        </w:r>
      </w:hyperlink>
    </w:p>
    <w:p w14:paraId="72FBF6E5" w14:textId="703CF3E8" w:rsidR="00B87A99" w:rsidRPr="007E6C25" w:rsidRDefault="00B87A99" w:rsidP="00DA1891">
      <w:pPr>
        <w:numPr>
          <w:ilvl w:val="0"/>
          <w:numId w:val="6"/>
        </w:numPr>
        <w:ind w:left="1134" w:hanging="567"/>
        <w:rPr>
          <w:rFonts w:ascii="Calibri" w:eastAsia="Calibri" w:hAnsi="Calibri" w:cs="Calibri"/>
          <w:sz w:val="24"/>
          <w:szCs w:val="24"/>
        </w:rPr>
      </w:pPr>
      <w:r>
        <w:rPr>
          <w:rFonts w:ascii="Calibri" w:eastAsia="Calibri" w:hAnsi="Calibri" w:cs="Calibri"/>
          <w:sz w:val="24"/>
          <w:szCs w:val="24"/>
        </w:rPr>
        <w:t>SAR Request form is published</w:t>
      </w:r>
      <w:r w:rsidR="00160C8F">
        <w:rPr>
          <w:rFonts w:ascii="Calibri" w:eastAsia="Calibri" w:hAnsi="Calibri" w:cs="Calibri"/>
          <w:sz w:val="24"/>
          <w:szCs w:val="24"/>
        </w:rPr>
        <w:t xml:space="preserve"> on the website</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24D8874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11" w:history="1">
        <w:r w:rsidR="007E6C25">
          <w:rPr>
            <w:rStyle w:val="Hyperlink"/>
          </w:rPr>
          <w:t>Work out of school (</w:t>
        </w:r>
        <w:proofErr w:type="spellStart"/>
        <w:r w:rsidR="007E6C25">
          <w:rPr>
            <w:rStyle w:val="Hyperlink"/>
          </w:rPr>
          <w:t>dataprotection.education</w:t>
        </w:r>
        <w:proofErr w:type="spellEnd"/>
        <w:r w:rsidR="007E6C25">
          <w:rPr>
            <w:rStyle w:val="Hyperlink"/>
          </w:rPr>
          <w:t>)</w:t>
        </w:r>
      </w:hyperlink>
    </w:p>
    <w:p w14:paraId="5D0F6FC3" w14:textId="0FB2767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Review of consent documentation. Consent guidance and consent withdrawal can also be added to the GDPR section of the school website</w:t>
      </w:r>
      <w:r w:rsidR="007E6C25">
        <w:rPr>
          <w:rFonts w:ascii="Calibri" w:eastAsia="Calibri" w:hAnsi="Calibri" w:cs="Calibri"/>
          <w:sz w:val="24"/>
          <w:szCs w:val="24"/>
        </w:rPr>
        <w:t xml:space="preserve"> </w:t>
      </w:r>
      <w:hyperlink r:id="rId12" w:history="1">
        <w:r w:rsidR="007E6C25">
          <w:rPr>
            <w:rStyle w:val="Hyperlink"/>
          </w:rPr>
          <w:t>Commitment to compliance (</w:t>
        </w:r>
        <w:proofErr w:type="spellStart"/>
        <w:r w:rsidR="007E6C25">
          <w:rPr>
            <w:rStyle w:val="Hyperlink"/>
          </w:rPr>
          <w:t>dataprotection.education</w:t>
        </w:r>
        <w:proofErr w:type="spellEnd"/>
        <w:r w:rsidR="007E6C25">
          <w:rPr>
            <w:rStyle w:val="Hyperlink"/>
          </w:rPr>
          <w:t>)</w:t>
        </w:r>
      </w:hyperlink>
    </w:p>
    <w:p w14:paraId="343F73EB" w14:textId="7C05929C" w:rsidR="00EA38A9" w:rsidRDefault="00EA38A9" w:rsidP="00113374">
      <w:pPr>
        <w:ind w:left="567"/>
        <w:rPr>
          <w:rFonts w:ascii="Calibri" w:eastAsia="Calibri" w:hAnsi="Calibri" w:cs="Calibri"/>
          <w:sz w:val="24"/>
          <w:szCs w:val="24"/>
        </w:rPr>
      </w:pPr>
    </w:p>
    <w:p w14:paraId="7CD6640D" w14:textId="381A6C31" w:rsidR="00113374" w:rsidRDefault="00113374"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386D787B" w:rsidR="00EA38A9" w:rsidRPr="00DA1891" w:rsidRDefault="00913FAF" w:rsidP="00F6187D">
      <w:pPr>
        <w:shd w:val="clear" w:color="auto" w:fill="FFFFFF"/>
        <w:ind w:left="567"/>
        <w:rPr>
          <w:rFonts w:ascii="Calibri" w:eastAsia="Calibri" w:hAnsi="Calibri" w:cs="Calibri"/>
          <w:sz w:val="24"/>
          <w:szCs w:val="24"/>
          <w:highlight w:val="white"/>
        </w:rPr>
      </w:pPr>
      <w:r w:rsidRPr="00DA1891">
        <w:rPr>
          <w:rFonts w:ascii="Calibri" w:eastAsia="Calibri" w:hAnsi="Calibri" w:cs="Calibri"/>
          <w:sz w:val="24"/>
          <w:szCs w:val="24"/>
          <w:highlight w:val="white"/>
        </w:rPr>
        <w:t xml:space="preserve">The controller is responsible for assessing that any </w:t>
      </w:r>
      <w:r w:rsidR="002C0202" w:rsidRPr="00DA1891">
        <w:rPr>
          <w:rFonts w:ascii="Calibri" w:eastAsia="Calibri" w:hAnsi="Calibri" w:cs="Calibri"/>
          <w:sz w:val="24"/>
          <w:szCs w:val="24"/>
          <w:highlight w:val="white"/>
        </w:rPr>
        <w:t>third-party</w:t>
      </w:r>
      <w:r w:rsidRPr="00DA1891">
        <w:rPr>
          <w:rFonts w:ascii="Calibri" w:eastAsia="Calibri" w:hAnsi="Calibri" w:cs="Calibri"/>
          <w:sz w:val="24"/>
          <w:szCs w:val="24"/>
          <w:highlight w:val="white"/>
        </w:rPr>
        <w:t xml:space="preserve"> processors (suppliers </w:t>
      </w:r>
      <w:proofErr w:type="spellStart"/>
      <w:r w:rsidRPr="00DA1891">
        <w:rPr>
          <w:rFonts w:ascii="Calibri" w:eastAsia="Calibri" w:hAnsi="Calibri" w:cs="Calibri"/>
          <w:sz w:val="24"/>
          <w:szCs w:val="24"/>
          <w:highlight w:val="white"/>
        </w:rPr>
        <w:t>etc</w:t>
      </w:r>
      <w:proofErr w:type="spellEnd"/>
      <w:r w:rsidRPr="00DA1891">
        <w:rPr>
          <w:rFonts w:ascii="Calibri" w:eastAsia="Calibri" w:hAnsi="Calibri" w:cs="Calibri"/>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sidRPr="00DA1891">
        <w:rPr>
          <w:rFonts w:ascii="Calibri" w:eastAsia="Calibri" w:hAnsi="Calibri" w:cs="Calibri"/>
          <w:sz w:val="24"/>
          <w:szCs w:val="24"/>
          <w:highlight w:val="white"/>
        </w:rPr>
        <w:t>organisational</w:t>
      </w:r>
      <w:proofErr w:type="spellEnd"/>
      <w:r w:rsidRPr="00DA1891">
        <w:rPr>
          <w:rFonts w:ascii="Calibri" w:eastAsia="Calibri" w:hAnsi="Calibri" w:cs="Calibri"/>
          <w:sz w:val="24"/>
          <w:szCs w:val="24"/>
          <w:highlight w:val="white"/>
        </w:rPr>
        <w:t xml:space="preserve"> measures to ensure the processing complies with the UK GDPR and protects the rights of individuals.</w:t>
      </w:r>
    </w:p>
    <w:p w14:paraId="05833CDC" w14:textId="77777777" w:rsidR="00EA38A9" w:rsidRPr="00DA1891"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Privacy notice/third party/supplier list - is this up to date, do you know all the </w:t>
      </w:r>
      <w:proofErr w:type="spellStart"/>
      <w:r w:rsidRPr="00195D96">
        <w:rPr>
          <w:rFonts w:ascii="Calibri" w:eastAsia="Calibri" w:hAnsi="Calibri" w:cs="Calibri"/>
          <w:sz w:val="24"/>
          <w:szCs w:val="24"/>
          <w:highlight w:val="white"/>
        </w:rPr>
        <w:t>organisations</w:t>
      </w:r>
      <w:proofErr w:type="spellEnd"/>
      <w:r w:rsidRPr="00195D96">
        <w:rPr>
          <w:rFonts w:ascii="Calibri" w:eastAsia="Calibri" w:hAnsi="Calibri" w:cs="Calibri"/>
          <w:sz w:val="24"/>
          <w:szCs w:val="24"/>
          <w:highlight w:val="white"/>
        </w:rPr>
        <w:t>/suppliers you share information with?</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3">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6B202435" w14:textId="63496549"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Information security and e-learning training </w:t>
      </w:r>
    </w:p>
    <w:p w14:paraId="4B19E59D" w14:textId="77777777" w:rsidR="00EA38A9" w:rsidRPr="00195D96" w:rsidRDefault="00EA38A9" w:rsidP="00F6187D">
      <w:pPr>
        <w:shd w:val="clear" w:color="auto" w:fill="FFFFFF"/>
        <w:rPr>
          <w:rFonts w:ascii="Calibri" w:eastAsia="Calibri" w:hAnsi="Calibri" w:cs="Calibri"/>
          <w:color w:val="222222"/>
          <w:sz w:val="24"/>
          <w:szCs w:val="24"/>
        </w:rPr>
      </w:pPr>
    </w:p>
    <w:p w14:paraId="3B8A824A"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DPE have a number of resources for information security: </w:t>
      </w:r>
      <w:hyperlink r:id="rId14">
        <w:r w:rsidRPr="00195D96">
          <w:rPr>
            <w:rFonts w:ascii="Calibri" w:eastAsia="Calibri" w:hAnsi="Calibri" w:cs="Calibri"/>
            <w:color w:val="1155CC"/>
            <w:sz w:val="24"/>
            <w:szCs w:val="24"/>
            <w:u w:val="single"/>
          </w:rPr>
          <w:t>https://dataprotection.education/best-practice-library/documents/information-technology-security</w:t>
        </w:r>
      </w:hyperlink>
      <w:r w:rsidRPr="00195D96">
        <w:rPr>
          <w:rFonts w:ascii="Calibri" w:eastAsia="Calibri" w:hAnsi="Calibri" w:cs="Calibri"/>
          <w:color w:val="222222"/>
          <w:sz w:val="24"/>
          <w:szCs w:val="24"/>
        </w:rPr>
        <w:t xml:space="preserve"> </w:t>
      </w:r>
    </w:p>
    <w:p w14:paraId="4BB52AF2"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003D6C7F"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If not already, staff should complete the </w:t>
      </w:r>
      <w:r w:rsidRPr="00195D96">
        <w:rPr>
          <w:rFonts w:ascii="Calibri" w:eastAsia="Calibri" w:hAnsi="Calibri" w:cs="Calibri"/>
          <w:b/>
          <w:color w:val="222222"/>
          <w:sz w:val="24"/>
          <w:szCs w:val="24"/>
        </w:rPr>
        <w:t>Stay Safe online NCSC training</w:t>
      </w:r>
      <w:r w:rsidRPr="00195D96">
        <w:rPr>
          <w:rFonts w:ascii="Calibri" w:eastAsia="Calibri" w:hAnsi="Calibri" w:cs="Calibri"/>
          <w:color w:val="222222"/>
          <w:sz w:val="24"/>
          <w:szCs w:val="24"/>
        </w:rPr>
        <w:t xml:space="preserve">. This is not only beneficial for the </w:t>
      </w:r>
      <w:proofErr w:type="spellStart"/>
      <w:r w:rsidRPr="00195D96">
        <w:rPr>
          <w:rFonts w:ascii="Calibri" w:eastAsia="Calibri" w:hAnsi="Calibri" w:cs="Calibri"/>
          <w:color w:val="222222"/>
          <w:sz w:val="24"/>
          <w:szCs w:val="24"/>
        </w:rPr>
        <w:t>organisation</w:t>
      </w:r>
      <w:proofErr w:type="spellEnd"/>
      <w:r w:rsidRPr="00195D96">
        <w:rPr>
          <w:rFonts w:ascii="Calibri" w:eastAsia="Calibri" w:hAnsi="Calibri" w:cs="Calibri"/>
          <w:color w:val="222222"/>
          <w:sz w:val="24"/>
          <w:szCs w:val="24"/>
        </w:rPr>
        <w:t xml:space="preserve"> but also for staff when accessing personal information online i.e. personal banking: </w:t>
      </w:r>
      <w:hyperlink r:id="rId15">
        <w:r w:rsidRPr="00195D96">
          <w:rPr>
            <w:rFonts w:ascii="Calibri" w:eastAsia="Calibri" w:hAnsi="Calibri" w:cs="Calibri"/>
            <w:color w:val="1155CC"/>
            <w:sz w:val="24"/>
            <w:szCs w:val="24"/>
            <w:u w:val="single"/>
          </w:rPr>
          <w:t>https://dataprotection.education/courses-heading/stay-safe-online-ncsc</w:t>
        </w:r>
      </w:hyperlink>
      <w:r w:rsidRPr="00195D96">
        <w:rPr>
          <w:rFonts w:ascii="Calibri" w:eastAsia="Calibri" w:hAnsi="Calibri" w:cs="Calibri"/>
          <w:color w:val="222222"/>
          <w:sz w:val="24"/>
          <w:szCs w:val="24"/>
        </w:rPr>
        <w:t xml:space="preserve"> </w:t>
      </w:r>
    </w:p>
    <w:p w14:paraId="4F77EAC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67789D3"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There is also an information classification best practice area: </w:t>
      </w:r>
      <w:hyperlink r:id="rId16">
        <w:r w:rsidRPr="00195D96">
          <w:rPr>
            <w:rFonts w:ascii="Calibri" w:eastAsia="Calibri" w:hAnsi="Calibri" w:cs="Calibri"/>
            <w:color w:val="1155CC"/>
            <w:sz w:val="24"/>
            <w:szCs w:val="24"/>
            <w:u w:val="single"/>
          </w:rPr>
          <w:t>https://dataprotection.education/index.php/best-practice-library/best-practice/information-classification</w:t>
        </w:r>
      </w:hyperlink>
      <w:r w:rsidRPr="00195D96">
        <w:rPr>
          <w:rFonts w:ascii="Calibri" w:eastAsia="Calibri" w:hAnsi="Calibri" w:cs="Calibri"/>
          <w:color w:val="222222"/>
          <w:sz w:val="24"/>
          <w:szCs w:val="24"/>
        </w:rPr>
        <w:t xml:space="preserve"> </w:t>
      </w:r>
    </w:p>
    <w:p w14:paraId="72EF3339"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7CB670B9" w14:textId="77777777" w:rsidR="00161A83" w:rsidRDefault="00161A83" w:rsidP="00F6187D">
      <w:pPr>
        <w:shd w:val="clear" w:color="auto" w:fill="FFFFFF"/>
        <w:ind w:left="567"/>
        <w:rPr>
          <w:rFonts w:ascii="Calibri" w:eastAsia="Calibri" w:hAnsi="Calibri" w:cs="Calibri"/>
          <w:color w:val="222222"/>
          <w:sz w:val="24"/>
          <w:szCs w:val="24"/>
        </w:rPr>
      </w:pPr>
    </w:p>
    <w:p w14:paraId="4FE9D327" w14:textId="5030D70A" w:rsidR="00EA38A9" w:rsidRPr="00161A83" w:rsidRDefault="00913FAF" w:rsidP="00F6187D">
      <w:pPr>
        <w:shd w:val="clear" w:color="auto" w:fill="FFFFFF"/>
        <w:ind w:left="567"/>
        <w:rPr>
          <w:rFonts w:asciiTheme="majorHAnsi" w:eastAsia="Calibri" w:hAnsiTheme="majorHAnsi" w:cstheme="majorHAnsi"/>
          <w:color w:val="222222"/>
          <w:sz w:val="24"/>
          <w:szCs w:val="24"/>
        </w:rPr>
      </w:pPr>
      <w:r w:rsidRPr="00161A83">
        <w:rPr>
          <w:rFonts w:asciiTheme="majorHAnsi" w:eastAsia="Calibri" w:hAnsiTheme="majorHAnsi" w:cstheme="majorHAnsi"/>
          <w:color w:val="222222"/>
          <w:sz w:val="24"/>
          <w:szCs w:val="24"/>
        </w:rPr>
        <w:lastRenderedPageBreak/>
        <w:t xml:space="preserve">In addition, you can check out the National Cyber Security Centre website: </w:t>
      </w:r>
      <w:hyperlink r:id="rId17">
        <w:r w:rsidRPr="00161A83">
          <w:rPr>
            <w:rFonts w:asciiTheme="majorHAnsi" w:eastAsia="Calibri" w:hAnsiTheme="majorHAnsi" w:cstheme="majorHAnsi"/>
            <w:color w:val="1155CC"/>
            <w:sz w:val="24"/>
            <w:szCs w:val="24"/>
            <w:u w:val="single"/>
          </w:rPr>
          <w:t>ncsc.gov.uk</w:t>
        </w:r>
      </w:hyperlink>
      <w:r w:rsidRPr="00161A83">
        <w:rPr>
          <w:rFonts w:asciiTheme="majorHAnsi" w:eastAsia="Calibri" w:hAnsiTheme="majorHAnsi" w:cstheme="majorHAnsi"/>
          <w:color w:val="222222"/>
          <w:sz w:val="24"/>
          <w:szCs w:val="24"/>
        </w:rPr>
        <w:t xml:space="preserve"> which has useful resources and tips for schools regarding cyber security:</w:t>
      </w:r>
    </w:p>
    <w:p w14:paraId="58565CE7" w14:textId="77777777" w:rsidR="00EA38A9" w:rsidRPr="00161A83" w:rsidRDefault="00913FAF" w:rsidP="00F6187D">
      <w:pPr>
        <w:numPr>
          <w:ilvl w:val="0"/>
          <w:numId w:val="2"/>
        </w:numPr>
        <w:spacing w:before="200"/>
        <w:ind w:left="1134" w:hanging="554"/>
        <w:rPr>
          <w:rFonts w:asciiTheme="majorHAnsi" w:eastAsia="Calibri" w:hAnsiTheme="majorHAnsi" w:cstheme="majorHAnsi"/>
          <w:sz w:val="24"/>
          <w:szCs w:val="24"/>
        </w:rPr>
      </w:pPr>
      <w:r w:rsidRPr="00161A83">
        <w:rPr>
          <w:rFonts w:asciiTheme="majorHAnsi" w:eastAsia="Calibri" w:hAnsiTheme="majorHAnsi" w:cstheme="majorHAnsi"/>
          <w:b/>
          <w:color w:val="222222"/>
          <w:sz w:val="24"/>
          <w:szCs w:val="24"/>
        </w:rPr>
        <w:t>School resources:</w:t>
      </w:r>
      <w:r w:rsidRPr="00161A83">
        <w:rPr>
          <w:rFonts w:asciiTheme="majorHAnsi" w:eastAsia="Calibri" w:hAnsiTheme="majorHAnsi" w:cstheme="majorHAnsi"/>
          <w:color w:val="222222"/>
          <w:sz w:val="24"/>
          <w:szCs w:val="24"/>
        </w:rPr>
        <w:t xml:space="preserve"> </w:t>
      </w:r>
      <w:hyperlink r:id="rId18">
        <w:r w:rsidRPr="00161A83">
          <w:rPr>
            <w:rFonts w:asciiTheme="majorHAnsi" w:eastAsia="Calibri" w:hAnsiTheme="majorHAnsi" w:cstheme="majorHAnsi"/>
            <w:color w:val="1155CC"/>
            <w:sz w:val="24"/>
            <w:szCs w:val="24"/>
            <w:u w:val="single"/>
          </w:rPr>
          <w:t>https://www.ncsc.gov.uk/section/education-skills/schools</w:t>
        </w:r>
      </w:hyperlink>
      <w:r w:rsidRPr="00161A83">
        <w:rPr>
          <w:rFonts w:asciiTheme="majorHAnsi" w:eastAsia="Calibri" w:hAnsiTheme="majorHAnsi" w:cstheme="majorHAnsi"/>
          <w:color w:val="222222"/>
          <w:sz w:val="24"/>
          <w:szCs w:val="24"/>
        </w:rPr>
        <w:t xml:space="preserve"> </w:t>
      </w:r>
    </w:p>
    <w:p w14:paraId="0436ECAD" w14:textId="77777777" w:rsidR="00EA38A9" w:rsidRPr="00161A83" w:rsidRDefault="00913FAF" w:rsidP="00F6187D">
      <w:pPr>
        <w:numPr>
          <w:ilvl w:val="0"/>
          <w:numId w:val="2"/>
        </w:numPr>
        <w:spacing w:after="200"/>
        <w:ind w:left="1134" w:hanging="554"/>
        <w:rPr>
          <w:rFonts w:asciiTheme="majorHAnsi" w:eastAsia="Calibri" w:hAnsiTheme="majorHAnsi" w:cstheme="majorHAnsi"/>
          <w:sz w:val="24"/>
          <w:szCs w:val="24"/>
        </w:rPr>
      </w:pPr>
      <w:r w:rsidRPr="00161A83">
        <w:rPr>
          <w:rFonts w:asciiTheme="majorHAnsi" w:eastAsia="Calibri" w:hAnsiTheme="majorHAnsi" w:cstheme="majorHAnsi"/>
          <w:b/>
          <w:color w:val="222222"/>
          <w:sz w:val="24"/>
          <w:szCs w:val="24"/>
        </w:rPr>
        <w:t>Governor Qs for schools:</w:t>
      </w:r>
      <w:r w:rsidRPr="00161A83">
        <w:rPr>
          <w:rFonts w:asciiTheme="majorHAnsi" w:eastAsia="Calibri" w:hAnsiTheme="majorHAnsi" w:cstheme="majorHAnsi"/>
          <w:color w:val="222222"/>
          <w:sz w:val="24"/>
          <w:szCs w:val="24"/>
        </w:rPr>
        <w:t xml:space="preserve"> </w:t>
      </w:r>
      <w:hyperlink r:id="rId19">
        <w:r w:rsidRPr="00161A83">
          <w:rPr>
            <w:rFonts w:asciiTheme="majorHAnsi" w:eastAsia="Calibri" w:hAnsiTheme="majorHAnsi" w:cstheme="majorHAnsi"/>
            <w:color w:val="1155CC"/>
            <w:sz w:val="24"/>
            <w:szCs w:val="24"/>
            <w:u w:val="single"/>
          </w:rPr>
          <w:t>https://www.ncsc.gov.uk/information/school-governor-questions</w:t>
        </w:r>
      </w:hyperlink>
    </w:p>
    <w:p w14:paraId="1039631A" w14:textId="77777777" w:rsidR="00161A83" w:rsidRPr="00161A83" w:rsidRDefault="00913FAF" w:rsidP="00161A83">
      <w:pPr>
        <w:widowControl w:val="0"/>
        <w:ind w:left="567"/>
        <w:rPr>
          <w:rFonts w:asciiTheme="majorHAnsi" w:eastAsia="Calibri" w:hAnsiTheme="majorHAnsi" w:cstheme="majorHAnsi"/>
          <w:sz w:val="24"/>
          <w:szCs w:val="24"/>
        </w:rPr>
      </w:pPr>
      <w:r w:rsidRPr="00161A83">
        <w:rPr>
          <w:rFonts w:asciiTheme="majorHAnsi" w:eastAsia="Calibri" w:hAnsiTheme="majorHAnsi" w:cstheme="majorHAnsi"/>
          <w:b/>
          <w:sz w:val="24"/>
          <w:szCs w:val="24"/>
        </w:rPr>
        <w:t xml:space="preserve">Check out the DPE news articles </w:t>
      </w:r>
      <w:r w:rsidRPr="00161A83">
        <w:rPr>
          <w:rFonts w:asciiTheme="majorHAnsi" w:eastAsia="Calibri" w:hAnsiTheme="majorHAnsi" w:cstheme="majorHAnsi"/>
          <w:sz w:val="24"/>
          <w:szCs w:val="24"/>
        </w:rPr>
        <w:t xml:space="preserve">on the Education sector now being at the highest risk of </w:t>
      </w:r>
      <w:r w:rsidR="00113374" w:rsidRPr="00161A83">
        <w:rPr>
          <w:rFonts w:asciiTheme="majorHAnsi" w:eastAsia="Calibri" w:hAnsiTheme="majorHAnsi" w:cstheme="majorHAnsi"/>
          <w:sz w:val="24"/>
          <w:szCs w:val="24"/>
        </w:rPr>
        <w:t>cyber-attacks:</w:t>
      </w:r>
      <w:r w:rsidRPr="00161A83">
        <w:rPr>
          <w:rFonts w:asciiTheme="majorHAnsi" w:eastAsia="Calibri" w:hAnsiTheme="majorHAnsi" w:cstheme="majorHAnsi"/>
          <w:sz w:val="24"/>
          <w:szCs w:val="24"/>
        </w:rPr>
        <w:t xml:space="preserve"> </w:t>
      </w:r>
    </w:p>
    <w:p w14:paraId="729393B5" w14:textId="049B8642" w:rsidR="00800627" w:rsidRPr="00161A83" w:rsidRDefault="00161A83" w:rsidP="00161A83">
      <w:pPr>
        <w:widowControl w:val="0"/>
        <w:ind w:left="567"/>
        <w:rPr>
          <w:rFonts w:asciiTheme="majorHAnsi" w:hAnsiTheme="majorHAnsi" w:cstheme="majorHAnsi"/>
          <w:sz w:val="24"/>
          <w:szCs w:val="24"/>
        </w:rPr>
      </w:pPr>
      <w:hyperlink r:id="rId20" w:history="1">
        <w:r w:rsidRPr="00161A83">
          <w:rPr>
            <w:rStyle w:val="Hyperlink"/>
            <w:rFonts w:asciiTheme="majorHAnsi" w:hAnsiTheme="majorHAnsi" w:cstheme="majorHAnsi"/>
            <w:sz w:val="24"/>
            <w:szCs w:val="24"/>
          </w:rPr>
          <w:t>How Schools are Dealing with Cyber Security Breaches (</w:t>
        </w:r>
        <w:proofErr w:type="spellStart"/>
        <w:r w:rsidRPr="00161A83">
          <w:rPr>
            <w:rStyle w:val="Hyperlink"/>
            <w:rFonts w:asciiTheme="majorHAnsi" w:hAnsiTheme="majorHAnsi" w:cstheme="majorHAnsi"/>
            <w:sz w:val="24"/>
            <w:szCs w:val="24"/>
          </w:rPr>
          <w:t>dataprotection.education</w:t>
        </w:r>
        <w:proofErr w:type="spellEnd"/>
        <w:r w:rsidRPr="00161A83">
          <w:rPr>
            <w:rStyle w:val="Hyperlink"/>
            <w:rFonts w:asciiTheme="majorHAnsi" w:hAnsiTheme="majorHAnsi" w:cstheme="majorHAnsi"/>
            <w:sz w:val="24"/>
            <w:szCs w:val="24"/>
          </w:rPr>
          <w:t>)</w:t>
        </w:r>
      </w:hyperlink>
    </w:p>
    <w:p w14:paraId="7BB7010D" w14:textId="77777777" w:rsidR="00161A83" w:rsidRPr="00161A83" w:rsidRDefault="00161A83" w:rsidP="00161A83">
      <w:pPr>
        <w:widowControl w:val="0"/>
        <w:ind w:left="567"/>
        <w:rPr>
          <w:rFonts w:asciiTheme="majorHAnsi" w:hAnsiTheme="majorHAnsi" w:cstheme="majorHAnsi"/>
          <w:sz w:val="24"/>
          <w:szCs w:val="24"/>
        </w:rPr>
      </w:pPr>
    </w:p>
    <w:p w14:paraId="046AB55D" w14:textId="36B03BC5" w:rsidR="00161A83" w:rsidRPr="00161A83" w:rsidRDefault="00161A83" w:rsidP="00161A83">
      <w:pPr>
        <w:widowControl w:val="0"/>
        <w:ind w:left="567"/>
        <w:rPr>
          <w:rFonts w:asciiTheme="majorHAnsi" w:hAnsiTheme="majorHAnsi" w:cstheme="majorHAnsi"/>
          <w:sz w:val="24"/>
          <w:szCs w:val="24"/>
        </w:rPr>
      </w:pPr>
      <w:hyperlink r:id="rId21" w:history="1">
        <w:r w:rsidRPr="00161A83">
          <w:rPr>
            <w:rStyle w:val="Hyperlink"/>
            <w:rFonts w:asciiTheme="majorHAnsi" w:hAnsiTheme="majorHAnsi" w:cstheme="majorHAnsi"/>
            <w:sz w:val="24"/>
            <w:szCs w:val="24"/>
          </w:rPr>
          <w:t>2022 Security Breach Report Published (</w:t>
        </w:r>
        <w:proofErr w:type="spellStart"/>
        <w:r w:rsidRPr="00161A83">
          <w:rPr>
            <w:rStyle w:val="Hyperlink"/>
            <w:rFonts w:asciiTheme="majorHAnsi" w:hAnsiTheme="majorHAnsi" w:cstheme="majorHAnsi"/>
            <w:sz w:val="24"/>
            <w:szCs w:val="24"/>
          </w:rPr>
          <w:t>dataprotection.education</w:t>
        </w:r>
        <w:proofErr w:type="spellEnd"/>
        <w:r w:rsidRPr="00161A83">
          <w:rPr>
            <w:rStyle w:val="Hyperlink"/>
            <w:rFonts w:asciiTheme="majorHAnsi" w:hAnsiTheme="majorHAnsi" w:cstheme="majorHAnsi"/>
            <w:sz w:val="24"/>
            <w:szCs w:val="24"/>
          </w:rPr>
          <w:t>)</w:t>
        </w:r>
      </w:hyperlink>
    </w:p>
    <w:p w14:paraId="21F1CBB6" w14:textId="77777777" w:rsidR="00161A83" w:rsidRPr="00195D96" w:rsidRDefault="00161A83" w:rsidP="00161A83">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7E098E3C" w:rsidR="00EA38A9" w:rsidRPr="00161A83" w:rsidRDefault="00DF5BB8" w:rsidP="00F6187D">
      <w:pPr>
        <w:widowControl w:val="0"/>
        <w:spacing w:after="300" w:line="276" w:lineRule="auto"/>
        <w:ind w:left="567"/>
        <w:rPr>
          <w:rFonts w:asciiTheme="majorHAnsi" w:eastAsia="Calibri" w:hAnsiTheme="majorHAnsi" w:cstheme="majorHAnsi"/>
          <w:b/>
          <w:color w:val="444444"/>
          <w:sz w:val="24"/>
          <w:szCs w:val="24"/>
          <w:highlight w:val="white"/>
        </w:rPr>
      </w:pPr>
      <w:r w:rsidRPr="00161A83">
        <w:rPr>
          <w:rFonts w:asciiTheme="majorHAnsi" w:eastAsia="Calibri" w:hAnsiTheme="majorHAnsi" w:cstheme="majorHAnsi"/>
          <w:color w:val="444444"/>
          <w:sz w:val="24"/>
          <w:szCs w:val="24"/>
          <w:highlight w:val="white"/>
        </w:rPr>
        <w:t xml:space="preserve">If you do not currently have a Retention Policy, there are resources available here: </w:t>
      </w:r>
      <w:hyperlink r:id="rId22" w:history="1">
        <w:r w:rsidRPr="00161A83">
          <w:rPr>
            <w:rStyle w:val="Hyperlink"/>
            <w:rFonts w:asciiTheme="majorHAnsi" w:hAnsiTheme="majorHAnsi" w:cstheme="majorHAnsi"/>
            <w:sz w:val="24"/>
            <w:szCs w:val="24"/>
          </w:rPr>
          <w:t>Records Management (</w:t>
        </w:r>
        <w:proofErr w:type="spellStart"/>
        <w:r w:rsidRPr="00161A83">
          <w:rPr>
            <w:rStyle w:val="Hyperlink"/>
            <w:rFonts w:asciiTheme="majorHAnsi" w:hAnsiTheme="majorHAnsi" w:cstheme="majorHAnsi"/>
            <w:sz w:val="24"/>
            <w:szCs w:val="24"/>
          </w:rPr>
          <w:t>dataprotection.education</w:t>
        </w:r>
        <w:proofErr w:type="spellEnd"/>
        <w:r w:rsidRPr="00161A83">
          <w:rPr>
            <w:rStyle w:val="Hyperlink"/>
            <w:rFonts w:asciiTheme="majorHAnsi" w:hAnsiTheme="majorHAnsi" w:cstheme="majorHAnsi"/>
            <w:sz w:val="24"/>
            <w:szCs w:val="24"/>
          </w:rPr>
          <w:t>)</w:t>
        </w:r>
      </w:hyperlink>
      <w:r w:rsidRPr="00161A83">
        <w:rPr>
          <w:rFonts w:asciiTheme="majorHAnsi" w:hAnsiTheme="majorHAnsi" w:cstheme="majorHAnsi"/>
          <w:sz w:val="24"/>
          <w:szCs w:val="24"/>
        </w:rPr>
        <w:t>.</w:t>
      </w:r>
      <w:r w:rsidR="00161A83" w:rsidRPr="00161A83">
        <w:rPr>
          <w:rFonts w:asciiTheme="majorHAnsi" w:hAnsiTheme="majorHAnsi" w:cstheme="majorHAnsi"/>
          <w:sz w:val="24"/>
          <w:szCs w:val="24"/>
        </w:rPr>
        <w:t xml:space="preserve">  The schedule you’ve been using from Surrey CC will be fine until the changes in the Governing Body have been made and you’re able to adopt a Retention Policy.</w:t>
      </w:r>
      <w:r w:rsidR="00913FAF" w:rsidRPr="00161A83">
        <w:rPr>
          <w:rFonts w:asciiTheme="majorHAnsi" w:eastAsia="Calibri" w:hAnsiTheme="majorHAnsi" w:cstheme="majorHAnsi"/>
          <w:color w:val="444444"/>
          <w:sz w:val="24"/>
          <w:szCs w:val="24"/>
          <w:highlight w:val="white"/>
        </w:rPr>
        <w:t xml:space="preserve"> There are </w:t>
      </w:r>
      <w:r w:rsidR="00913FAF" w:rsidRPr="00161A83">
        <w:rPr>
          <w:rFonts w:asciiTheme="majorHAnsi" w:eastAsia="Calibri" w:hAnsiTheme="majorHAnsi" w:cstheme="majorHAnsi"/>
          <w:b/>
          <w:color w:val="444444"/>
          <w:sz w:val="24"/>
          <w:szCs w:val="24"/>
          <w:highlight w:val="white"/>
        </w:rPr>
        <w:t>two key factors:</w:t>
      </w:r>
      <w:r w:rsidR="00913FAF" w:rsidRPr="00161A83">
        <w:rPr>
          <w:rFonts w:asciiTheme="majorHAnsi" w:eastAsia="Calibri" w:hAnsiTheme="majorHAnsi" w:cstheme="majorHAnsi"/>
          <w:color w:val="444444"/>
          <w:sz w:val="24"/>
          <w:szCs w:val="24"/>
          <w:highlight w:val="white"/>
        </w:rPr>
        <w:t xml:space="preserve"> the</w:t>
      </w:r>
      <w:r w:rsidR="00913FAF" w:rsidRPr="00161A83">
        <w:rPr>
          <w:rFonts w:asciiTheme="majorHAnsi" w:eastAsia="Calibri" w:hAnsiTheme="majorHAnsi" w:cstheme="majorHAnsi"/>
          <w:b/>
          <w:color w:val="444444"/>
          <w:sz w:val="24"/>
          <w:szCs w:val="24"/>
          <w:highlight w:val="white"/>
        </w:rPr>
        <w:t xml:space="preserve"> purpose </w:t>
      </w:r>
      <w:r w:rsidR="00913FAF" w:rsidRPr="00161A83">
        <w:rPr>
          <w:rFonts w:asciiTheme="majorHAnsi" w:eastAsia="Calibri" w:hAnsiTheme="majorHAnsi" w:cstheme="majorHAnsi"/>
          <w:color w:val="444444"/>
          <w:sz w:val="24"/>
          <w:szCs w:val="24"/>
          <w:highlight w:val="white"/>
        </w:rPr>
        <w:t xml:space="preserve">for processing the data, and any </w:t>
      </w:r>
      <w:r w:rsidR="00913FAF" w:rsidRPr="00161A83">
        <w:rPr>
          <w:rFonts w:asciiTheme="majorHAnsi" w:eastAsia="Calibri" w:hAnsiTheme="majorHAnsi" w:cstheme="majorHAnsi"/>
          <w:b/>
          <w:color w:val="444444"/>
          <w:sz w:val="24"/>
          <w:szCs w:val="24"/>
          <w:highlight w:val="white"/>
        </w:rPr>
        <w:t xml:space="preserve">legal or </w:t>
      </w:r>
      <w:r w:rsidR="00113374" w:rsidRPr="00161A83">
        <w:rPr>
          <w:rFonts w:asciiTheme="majorHAnsi" w:eastAsia="Calibri" w:hAnsiTheme="majorHAnsi" w:cstheme="majorHAnsi"/>
          <w:b/>
          <w:color w:val="444444"/>
          <w:sz w:val="24"/>
          <w:szCs w:val="24"/>
          <w:highlight w:val="white"/>
        </w:rPr>
        <w:t>regulatory requirements</w:t>
      </w:r>
      <w:r w:rsidR="00913FAF" w:rsidRPr="00161A83">
        <w:rPr>
          <w:rFonts w:asciiTheme="majorHAnsi" w:eastAsia="Calibri" w:hAnsiTheme="majorHAnsi" w:cstheme="majorHAnsi"/>
          <w:b/>
          <w:color w:val="444444"/>
          <w:sz w:val="24"/>
          <w:szCs w:val="24"/>
          <w:highlight w:val="white"/>
        </w:rPr>
        <w:t xml:space="preserve"> </w:t>
      </w:r>
      <w:r w:rsidR="00913FAF" w:rsidRPr="00161A83">
        <w:rPr>
          <w:rFonts w:asciiTheme="majorHAnsi" w:eastAsia="Calibri" w:hAnsiTheme="majorHAnsi" w:cstheme="majorHAnsi"/>
          <w:color w:val="444444"/>
          <w:sz w:val="24"/>
          <w:szCs w:val="24"/>
          <w:highlight w:val="white"/>
        </w:rPr>
        <w:t xml:space="preserve">for </w:t>
      </w:r>
      <w:r w:rsidR="00913FAF" w:rsidRPr="00161A83">
        <w:rPr>
          <w:rFonts w:asciiTheme="majorHAnsi" w:eastAsia="Calibri" w:hAnsiTheme="majorHAnsi" w:cstheme="majorHAnsi"/>
          <w:b/>
          <w:color w:val="444444"/>
          <w:sz w:val="24"/>
          <w:szCs w:val="24"/>
          <w:highlight w:val="white"/>
        </w:rPr>
        <w:t xml:space="preserve">retaining it. </w:t>
      </w:r>
      <w:r w:rsidR="00913FAF" w:rsidRPr="00161A83">
        <w:rPr>
          <w:rFonts w:asciiTheme="majorHAnsi" w:eastAsia="Calibri" w:hAnsiTheme="majorHAnsi" w:cstheme="majorHAnsi"/>
          <w:color w:val="444444"/>
          <w:sz w:val="24"/>
          <w:szCs w:val="24"/>
          <w:highlight w:val="white"/>
        </w:rPr>
        <w:t>One of your purposes will need to apply for you to continue to store the data. Data should not be held for longer than is needed. You shouldn’t just keep data just in case you may need it in the future.</w:t>
      </w: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23">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54494B2B"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4">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221068" w:rsidP="00F6187D">
      <w:pPr>
        <w:widowControl w:val="0"/>
        <w:numPr>
          <w:ilvl w:val="0"/>
          <w:numId w:val="1"/>
        </w:numPr>
        <w:spacing w:line="276" w:lineRule="auto"/>
        <w:ind w:left="1134" w:hanging="567"/>
        <w:rPr>
          <w:rFonts w:ascii="Calibri" w:eastAsia="Calibri" w:hAnsi="Calibri" w:cs="Calibri"/>
          <w:sz w:val="24"/>
          <w:szCs w:val="24"/>
        </w:rPr>
      </w:pPr>
      <w:hyperlink r:id="rId25"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221068" w:rsidP="00F6187D">
      <w:pPr>
        <w:widowControl w:val="0"/>
        <w:numPr>
          <w:ilvl w:val="0"/>
          <w:numId w:val="1"/>
        </w:numPr>
        <w:spacing w:line="276" w:lineRule="auto"/>
        <w:ind w:left="1134" w:hanging="567"/>
        <w:rPr>
          <w:rFonts w:ascii="Calibri" w:eastAsia="Calibri" w:hAnsi="Calibri" w:cs="Calibri"/>
          <w:sz w:val="24"/>
          <w:szCs w:val="24"/>
        </w:rPr>
      </w:pPr>
      <w:hyperlink r:id="rId26">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7">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28">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29">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221068" w:rsidP="00F6187D">
      <w:pPr>
        <w:widowControl w:val="0"/>
        <w:numPr>
          <w:ilvl w:val="0"/>
          <w:numId w:val="1"/>
        </w:numPr>
        <w:spacing w:line="276" w:lineRule="auto"/>
        <w:ind w:left="1134" w:hanging="567"/>
        <w:rPr>
          <w:rFonts w:ascii="Calibri" w:eastAsia="Calibri" w:hAnsi="Calibri" w:cs="Calibri"/>
          <w:sz w:val="24"/>
          <w:szCs w:val="24"/>
        </w:rPr>
      </w:pPr>
      <w:hyperlink r:id="rId30">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221068" w:rsidP="00F6187D">
      <w:pPr>
        <w:widowControl w:val="0"/>
        <w:numPr>
          <w:ilvl w:val="0"/>
          <w:numId w:val="1"/>
        </w:numPr>
        <w:spacing w:line="276" w:lineRule="auto"/>
        <w:ind w:left="1134" w:hanging="567"/>
        <w:rPr>
          <w:rFonts w:ascii="Calibri" w:eastAsia="Calibri" w:hAnsi="Calibri" w:cs="Calibri"/>
          <w:sz w:val="24"/>
          <w:szCs w:val="24"/>
        </w:rPr>
      </w:pPr>
      <w:hyperlink r:id="rId31">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221068" w:rsidP="00F6187D">
      <w:pPr>
        <w:widowControl w:val="0"/>
        <w:numPr>
          <w:ilvl w:val="0"/>
          <w:numId w:val="1"/>
        </w:numPr>
        <w:spacing w:line="276" w:lineRule="auto"/>
        <w:ind w:left="1134" w:hanging="567"/>
        <w:rPr>
          <w:rFonts w:ascii="Calibri" w:eastAsia="Calibri" w:hAnsi="Calibri" w:cs="Calibri"/>
          <w:sz w:val="24"/>
          <w:szCs w:val="24"/>
        </w:rPr>
      </w:pPr>
      <w:hyperlink r:id="rId32">
        <w:r w:rsidR="00913FAF" w:rsidRPr="00195D96">
          <w:rPr>
            <w:rFonts w:ascii="Calibri" w:eastAsia="Calibri" w:hAnsi="Calibri" w:cs="Calibri"/>
            <w:color w:val="0563C1"/>
            <w:sz w:val="24"/>
            <w:szCs w:val="24"/>
            <w:u w:val="single"/>
          </w:rPr>
          <w:t>MIS retention tools</w:t>
        </w:r>
      </w:hyperlink>
    </w:p>
    <w:p w14:paraId="7ABEF1AA" w14:textId="6C5464C0"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Network scanning and retention tools - speak to your IT </w:t>
      </w:r>
      <w:r w:rsidR="00AA7836">
        <w:rPr>
          <w:rFonts w:ascii="Calibri" w:eastAsia="Calibri" w:hAnsi="Calibri" w:cs="Calibri"/>
          <w:sz w:val="24"/>
          <w:szCs w:val="24"/>
        </w:rPr>
        <w:t>service provider</w:t>
      </w:r>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lastRenderedPageBreak/>
        <w:t>Raising staff awareness and audit walks</w:t>
      </w:r>
    </w:p>
    <w:p w14:paraId="3A0A9485" w14:textId="3F734B18" w:rsidR="00EA38A9" w:rsidRPr="00195D96" w:rsidRDefault="00161A83"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shown during our last session, if you wish to conduct </w:t>
      </w:r>
      <w:r w:rsidR="00B5011F">
        <w:rPr>
          <w:rFonts w:ascii="Calibri" w:eastAsia="Calibri" w:hAnsi="Calibri" w:cs="Calibri"/>
          <w:sz w:val="24"/>
          <w:szCs w:val="24"/>
        </w:rPr>
        <w:t xml:space="preserve">walk-rounds this tool can help assist you in risks to identify.  It </w:t>
      </w:r>
      <w:r w:rsidR="00913FAF" w:rsidRPr="00195D96">
        <w:rPr>
          <w:rFonts w:ascii="Calibri" w:eastAsia="Calibri" w:hAnsi="Calibri" w:cs="Calibri"/>
          <w:sz w:val="24"/>
          <w:szCs w:val="24"/>
        </w:rPr>
        <w:t xml:space="preserve">will also be used by consultants when we visit. By completing electronically, allows you to log and keep a record and is accessible via the My Activities tab on the DPE website:  </w:t>
      </w:r>
      <w:hyperlink r:id="rId33">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1E99ECE6" w:rsidR="00EA38A9"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r w:rsidRPr="00195D96">
        <w:rPr>
          <w:rFonts w:ascii="Calibri" w:eastAsia="Calibri" w:hAnsi="Calibri" w:cs="Calibri"/>
          <w:sz w:val="24"/>
          <w:szCs w:val="24"/>
        </w:rPr>
        <w:t>i.e. clear desks and locking laptops etc. This is   an ideal way to raise awareness and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34" w:history="1">
        <w:r w:rsidR="00603AD7">
          <w:rPr>
            <w:rStyle w:val="Hyperlink"/>
          </w:rPr>
          <w:t>Drip Feeds - posters (</w:t>
        </w:r>
        <w:proofErr w:type="spellStart"/>
        <w:r w:rsidR="00603AD7">
          <w:rPr>
            <w:rStyle w:val="Hyperlink"/>
          </w:rPr>
          <w:t>dataprotection.education</w:t>
        </w:r>
        <w:proofErr w:type="spellEnd"/>
        <w:r w:rsidR="00603AD7">
          <w:rPr>
            <w:rStyle w:val="Hyperlink"/>
          </w:rPr>
          <w:t>)</w:t>
        </w:r>
      </w:hyperlink>
      <w:r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733AAE67" w14:textId="77777777" w:rsidR="006A7719" w:rsidRDefault="00913FAF" w:rsidP="006A7719">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2804210F" w14:textId="20117796" w:rsidR="006A7719" w:rsidRPr="006A7719" w:rsidRDefault="006A7719" w:rsidP="006A7719">
      <w:pPr>
        <w:ind w:left="567"/>
        <w:rPr>
          <w:rFonts w:ascii="Calibri" w:eastAsia="Calibri" w:hAnsi="Calibri" w:cs="Calibri"/>
          <w:sz w:val="24"/>
          <w:szCs w:val="24"/>
        </w:rPr>
      </w:pPr>
      <w:r w:rsidRPr="006A7719">
        <w:rPr>
          <w:rFonts w:ascii="Calibri" w:eastAsia="Calibri" w:hAnsi="Calibri" w:cs="Calibri"/>
          <w:sz w:val="24"/>
          <w:szCs w:val="24"/>
        </w:rPr>
        <w:t>Check out the latest webinars and workshops from the My Activities section of the DPE website. The next workshop is a</w:t>
      </w:r>
      <w:r w:rsidRPr="006A7719">
        <w:rPr>
          <w:rFonts w:ascii="Calibri" w:eastAsia="Calibri" w:hAnsi="Calibri" w:cs="Calibri"/>
          <w:b/>
          <w:sz w:val="24"/>
          <w:szCs w:val="24"/>
        </w:rPr>
        <w:t xml:space="preserve"> </w:t>
      </w:r>
      <w:r w:rsidR="00BF2499">
        <w:rPr>
          <w:rFonts w:ascii="Calibri" w:eastAsia="Calibri" w:hAnsi="Calibri" w:cs="Calibri"/>
          <w:b/>
          <w:sz w:val="24"/>
          <w:szCs w:val="24"/>
        </w:rPr>
        <w:t>Phishing Webinar</w:t>
      </w:r>
      <w:r w:rsidRPr="006A7719">
        <w:rPr>
          <w:rFonts w:ascii="Calibri" w:eastAsia="Calibri" w:hAnsi="Calibri" w:cs="Calibri"/>
          <w:b/>
          <w:sz w:val="24"/>
          <w:szCs w:val="24"/>
        </w:rPr>
        <w:t xml:space="preserve"> </w:t>
      </w:r>
      <w:r w:rsidRPr="006A7719">
        <w:rPr>
          <w:rFonts w:ascii="Calibri" w:eastAsia="Calibri" w:hAnsi="Calibri" w:cs="Calibri"/>
          <w:sz w:val="24"/>
          <w:szCs w:val="24"/>
        </w:rPr>
        <w:t xml:space="preserve">on the </w:t>
      </w:r>
      <w:r w:rsidR="00BF2499">
        <w:rPr>
          <w:rFonts w:ascii="Calibri" w:eastAsia="Calibri" w:hAnsi="Calibri" w:cs="Calibri"/>
          <w:sz w:val="24"/>
          <w:szCs w:val="24"/>
        </w:rPr>
        <w:t>12</w:t>
      </w:r>
      <w:r w:rsidR="00BF2499" w:rsidRPr="00BF2499">
        <w:rPr>
          <w:rFonts w:ascii="Calibri" w:eastAsia="Calibri" w:hAnsi="Calibri" w:cs="Calibri"/>
          <w:sz w:val="24"/>
          <w:szCs w:val="24"/>
          <w:vertAlign w:val="superscript"/>
        </w:rPr>
        <w:t>th</w:t>
      </w:r>
      <w:r w:rsidR="00BF2499">
        <w:rPr>
          <w:rFonts w:ascii="Calibri" w:eastAsia="Calibri" w:hAnsi="Calibri" w:cs="Calibri"/>
          <w:sz w:val="24"/>
          <w:szCs w:val="24"/>
        </w:rPr>
        <w:t xml:space="preserve"> May</w:t>
      </w:r>
      <w:r w:rsidRPr="006A7719">
        <w:rPr>
          <w:rFonts w:ascii="Calibri" w:eastAsia="Calibri" w:hAnsi="Calibri" w:cs="Calibri"/>
          <w:sz w:val="24"/>
          <w:szCs w:val="24"/>
        </w:rPr>
        <w:t xml:space="preserve">: </w:t>
      </w:r>
      <w:hyperlink r:id="rId35">
        <w:r w:rsidRPr="006A7719">
          <w:rPr>
            <w:rFonts w:ascii="Calibri" w:eastAsia="Calibri" w:hAnsi="Calibri" w:cs="Calibri"/>
            <w:color w:val="1155CC"/>
            <w:sz w:val="24"/>
            <w:szCs w:val="24"/>
            <w:u w:val="single"/>
          </w:rPr>
          <w:t>https://dataprotection.education/courses-heading/dpe-events</w:t>
        </w:r>
      </w:hyperlink>
      <w:r w:rsidRPr="006A7719">
        <w:rPr>
          <w:rFonts w:ascii="Calibri" w:eastAsia="Calibri" w:hAnsi="Calibri" w:cs="Calibri"/>
          <w:sz w:val="24"/>
          <w:szCs w:val="24"/>
        </w:rPr>
        <w:t xml:space="preserve"> </w:t>
      </w:r>
    </w:p>
    <w:p w14:paraId="48ACCB68" w14:textId="77777777" w:rsidR="006A7719" w:rsidRDefault="006A7719" w:rsidP="006A7719">
      <w:pPr>
        <w:ind w:left="567"/>
        <w:rPr>
          <w:rFonts w:ascii="Calibri" w:eastAsia="Calibri" w:hAnsi="Calibri" w:cs="Calibri"/>
          <w:color w:val="0591B4"/>
          <w:sz w:val="32"/>
          <w:szCs w:val="32"/>
        </w:rPr>
      </w:pPr>
    </w:p>
    <w:sectPr w:rsidR="006A7719" w:rsidSect="00161A83">
      <w:headerReference w:type="default" r:id="rId36"/>
      <w:pgSz w:w="12240" w:h="15840"/>
      <w:pgMar w:top="720" w:right="720" w:bottom="568"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B2245" w14:textId="77777777" w:rsidR="00221068" w:rsidRDefault="00221068">
      <w:r>
        <w:separator/>
      </w:r>
    </w:p>
  </w:endnote>
  <w:endnote w:type="continuationSeparator" w:id="0">
    <w:p w14:paraId="02BD1003" w14:textId="77777777" w:rsidR="00221068" w:rsidRDefault="00221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52F4A" w14:textId="77777777" w:rsidR="00221068" w:rsidRDefault="00221068">
      <w:r>
        <w:separator/>
      </w:r>
    </w:p>
  </w:footnote>
  <w:footnote w:type="continuationSeparator" w:id="0">
    <w:p w14:paraId="2EF9976C" w14:textId="77777777" w:rsidR="00221068" w:rsidRDefault="00221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6793123">
    <w:abstractNumId w:val="1"/>
  </w:num>
  <w:num w:numId="2" w16cid:durableId="841512562">
    <w:abstractNumId w:val="5"/>
  </w:num>
  <w:num w:numId="3" w16cid:durableId="1309701089">
    <w:abstractNumId w:val="3"/>
  </w:num>
  <w:num w:numId="4" w16cid:durableId="940335898">
    <w:abstractNumId w:val="2"/>
  </w:num>
  <w:num w:numId="5" w16cid:durableId="93747912">
    <w:abstractNumId w:val="4"/>
  </w:num>
  <w:num w:numId="6" w16cid:durableId="1863010463">
    <w:abstractNumId w:val="6"/>
  </w:num>
  <w:num w:numId="7" w16cid:durableId="1679650433">
    <w:abstractNumId w:val="7"/>
  </w:num>
  <w:num w:numId="8" w16cid:durableId="165648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60C8F"/>
    <w:rsid w:val="00161A83"/>
    <w:rsid w:val="00195D96"/>
    <w:rsid w:val="00202CE1"/>
    <w:rsid w:val="00221068"/>
    <w:rsid w:val="002C0202"/>
    <w:rsid w:val="00345C75"/>
    <w:rsid w:val="003A2B0A"/>
    <w:rsid w:val="00403B35"/>
    <w:rsid w:val="00445379"/>
    <w:rsid w:val="00496453"/>
    <w:rsid w:val="0058676E"/>
    <w:rsid w:val="00603AD7"/>
    <w:rsid w:val="00604956"/>
    <w:rsid w:val="00672F2D"/>
    <w:rsid w:val="006A7719"/>
    <w:rsid w:val="006D3A08"/>
    <w:rsid w:val="0071019E"/>
    <w:rsid w:val="007E6C25"/>
    <w:rsid w:val="00800627"/>
    <w:rsid w:val="00834BCB"/>
    <w:rsid w:val="00846D9D"/>
    <w:rsid w:val="00865DB1"/>
    <w:rsid w:val="00872C54"/>
    <w:rsid w:val="0089095B"/>
    <w:rsid w:val="008E1965"/>
    <w:rsid w:val="00913FAF"/>
    <w:rsid w:val="00A0195A"/>
    <w:rsid w:val="00AA23AC"/>
    <w:rsid w:val="00AA7836"/>
    <w:rsid w:val="00B5011F"/>
    <w:rsid w:val="00B82B1B"/>
    <w:rsid w:val="00B87A99"/>
    <w:rsid w:val="00BF2499"/>
    <w:rsid w:val="00C00963"/>
    <w:rsid w:val="00C47D3A"/>
    <w:rsid w:val="00D477D3"/>
    <w:rsid w:val="00DA1891"/>
    <w:rsid w:val="00DB49F8"/>
    <w:rsid w:val="00DE6434"/>
    <w:rsid w:val="00DF5BB8"/>
    <w:rsid w:val="00E52C61"/>
    <w:rsid w:val="00EA38A9"/>
    <w:rsid w:val="00F0714D"/>
    <w:rsid w:val="00F20D43"/>
    <w:rsid w:val="00F6187D"/>
    <w:rsid w:val="00F67633"/>
    <w:rsid w:val="00F87E16"/>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paragraph" w:styleId="ListParagraph">
    <w:name w:val="List Paragraph"/>
    <w:basedOn w:val="Normal"/>
    <w:uiPriority w:val="34"/>
    <w:qFormat/>
    <w:rsid w:val="006A77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dataprotection.education/index.php/best-practice-library/best-practice/due-diligence-best-practice-area" TargetMode="External"/><Relationship Id="rId18" Type="http://schemas.openxmlformats.org/officeDocument/2006/relationships/hyperlink" Target="https://www.ncsc.gov.uk/section/education-skills/schools" TargetMode="External"/><Relationship Id="rId26" Type="http://schemas.openxmlformats.org/officeDocument/2006/relationships/hyperlink" Target="https://ico.org.uk/for-organisations/guide-to-data-protection/guide-to-the-general-data-protection-regulation-gdpr/principles/storage-limitation/" TargetMode="External"/><Relationship Id="rId3" Type="http://schemas.openxmlformats.org/officeDocument/2006/relationships/settings" Target="settings.xml"/><Relationship Id="rId21" Type="http://schemas.openxmlformats.org/officeDocument/2006/relationships/hyperlink" Target="https://dataprotection.education/infosec/248-april-security-update" TargetMode="External"/><Relationship Id="rId34" Type="http://schemas.openxmlformats.org/officeDocument/2006/relationships/hyperlink" Target="https://dataprotection.education/best-practice-library/documents/drip-feeds" TargetMode="External"/><Relationship Id="rId7" Type="http://schemas.openxmlformats.org/officeDocument/2006/relationships/hyperlink" Target="https://dataprotection.education/courses-heading/courses" TargetMode="External"/><Relationship Id="rId12" Type="http://schemas.openxmlformats.org/officeDocument/2006/relationships/hyperlink" Target="https://dataprotection.education/best-practice-library/best-practice/commitment-to-compliance" TargetMode="External"/><Relationship Id="rId17" Type="http://schemas.openxmlformats.org/officeDocument/2006/relationships/hyperlink" Target="http://ncsc.gov.uk/" TargetMode="External"/><Relationship Id="rId25" Type="http://schemas.openxmlformats.org/officeDocument/2006/relationships/hyperlink" Target="https://assets.publishing.service.gov.uk/government/uploads/system/uploads/attachment_data/file/737237/Records_Checklist_Safe_Data_Destruction_Log_accessible.docx" TargetMode="External"/><Relationship Id="rId33" Type="http://schemas.openxmlformats.org/officeDocument/2006/relationships/hyperlink" Target="https://dataprotection.education/courses-heading/making-the-rounds-lo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ataprotection.education/index.php/best-practice-library/best-practice/information-classification" TargetMode="External"/><Relationship Id="rId20" Type="http://schemas.openxmlformats.org/officeDocument/2006/relationships/hyperlink" Target="https://dataprotection.education/news-top/news/249-how-educational-institutions-are-dealing-with-cyber-security-breaches" TargetMode="External"/><Relationship Id="rId29" Type="http://schemas.openxmlformats.org/officeDocument/2006/relationships/hyperlink" Target="https://www.legislation.gov.uk/uksi/2021/833/contents/ma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procedures/43-work-out-of-school" TargetMode="External"/><Relationship Id="rId24" Type="http://schemas.openxmlformats.org/officeDocument/2006/relationships/hyperlink" Target="https://dataprotection.education/index.php/best-practice-library/best-practice/records-management" TargetMode="External"/><Relationship Id="rId32" Type="http://schemas.openxmlformats.org/officeDocument/2006/relationships/hyperlink" Target="https://support.capitasoftware.com/csm?id=kb_article_view&amp;sysparm_article=KB0035802&amp;sys_kb_id=1915cce21b9f3010c723edb2b24bcbce&amp;spa=1"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ataprotection.education/courses-heading/stay-safe-online-ncsc" TargetMode="External"/><Relationship Id="rId23" Type="http://schemas.openxmlformats.org/officeDocument/2006/relationships/hyperlink" Target="https://irms.org.uk/page/SchoolsToolkit" TargetMode="External"/><Relationship Id="rId28" Type="http://schemas.openxmlformats.org/officeDocument/2006/relationships/hyperlink" Target="https://www.legislation.gov.uk/ukpga/1980/58" TargetMode="External"/><Relationship Id="rId36" Type="http://schemas.openxmlformats.org/officeDocument/2006/relationships/header" Target="header1.xml"/><Relationship Id="rId10" Type="http://schemas.openxmlformats.org/officeDocument/2006/relationships/hyperlink" Target="https://dataprotection.education/best-practice-library/best-practice/freedom-of-information" TargetMode="External"/><Relationship Id="rId19" Type="http://schemas.openxmlformats.org/officeDocument/2006/relationships/hyperlink" Target="https://www.ncsc.gov.uk/information/school-governor-questions" TargetMode="External"/><Relationship Id="rId31" Type="http://schemas.openxmlformats.org/officeDocument/2006/relationships/hyperlink" Target="https://support.google.com/vault/answer/2990828?hl=en"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commitment-to-compliance" TargetMode="External"/><Relationship Id="rId14" Type="http://schemas.openxmlformats.org/officeDocument/2006/relationships/hyperlink" Target="https://dataprotection.education/best-practice-library/documents/information-technology-security" TargetMode="External"/><Relationship Id="rId22" Type="http://schemas.openxmlformats.org/officeDocument/2006/relationships/hyperlink" Target="https://dataprotection.education/best-practice-library/best-practice/records-management" TargetMode="External"/><Relationship Id="rId27" Type="http://schemas.openxmlformats.org/officeDocument/2006/relationships/hyperlink" Target="https://dataprotection.education/index.php?option=com_tjucm&amp;view=items&amp;client=com_tjucm.rop&amp;filter_process=generic&amp;Itemid=1258" TargetMode="External"/><Relationship Id="rId30" Type="http://schemas.openxmlformats.org/officeDocument/2006/relationships/hyperlink" Target="https://docs.microsoft.com/en-us/microsoft-365/compliance/retention?view=o365-worldwide" TargetMode="External"/><Relationship Id="rId35" Type="http://schemas.openxmlformats.org/officeDocument/2006/relationships/hyperlink" Target="https://dataprotection.education/courses-heading/dpe-ev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4</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2022-04-25T09:06:00Z</dcterms:created>
  <dcterms:modified xsi:type="dcterms:W3CDTF">2022-04-25T13:04:00Z</dcterms:modified>
</cp:coreProperties>
</file>