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Brundall Primary School                                                  Date: </w:t>
      </w:r>
      <w:r w:rsidDel="00000000" w:rsidR="00000000" w:rsidRPr="00000000">
        <w:rPr>
          <w:rFonts w:ascii="Calibri" w:cs="Calibri" w:eastAsia="Calibri" w:hAnsi="Calibri"/>
          <w:b w:val="0"/>
          <w:color w:val="4bacc6"/>
          <w:sz w:val="30"/>
          <w:szCs w:val="30"/>
          <w:rtl w:val="0"/>
        </w:rPr>
        <w:t xml:space="preserve">17/05/2022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Information Sheet</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 </w:t>
      </w:r>
      <w:r w:rsidDel="00000000" w:rsidR="00000000" w:rsidRPr="00000000">
        <w:rPr>
          <w:rFonts w:ascii="Calibri" w:cs="Calibri" w:eastAsia="Calibri" w:hAnsi="Calibri"/>
          <w:color w:val="0591b4"/>
          <w:sz w:val="30"/>
          <w:szCs w:val="30"/>
          <w:rtl w:val="0"/>
        </w:rPr>
        <w:t xml:space="preserve">Sarah Shirraz</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Information sheet content </w:t>
      </w:r>
      <w:r w:rsidDel="00000000" w:rsidR="00000000" w:rsidRPr="00000000">
        <w:rPr>
          <w:rtl w:val="0"/>
        </w:rPr>
      </w:r>
    </w:p>
    <w:p w:rsidR="00000000" w:rsidDel="00000000" w:rsidP="00000000" w:rsidRDefault="00000000" w:rsidRPr="00000000" w14:paraId="00000006">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and housekeeping</w:t>
      </w:r>
    </w:p>
    <w:p w:rsidR="00000000" w:rsidDel="00000000" w:rsidP="00000000" w:rsidRDefault="00000000" w:rsidRPr="00000000" w14:paraId="00000007">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9">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A">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B">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C">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events and webinars</w:t>
      </w:r>
    </w:p>
    <w:p w:rsidR="00000000" w:rsidDel="00000000" w:rsidP="00000000" w:rsidRDefault="00000000" w:rsidRPr="00000000" w14:paraId="0000000D">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of processing (RoP) update </w:t>
      </w:r>
      <w:r w:rsidDel="00000000" w:rsidR="00000000" w:rsidRPr="00000000">
        <w:rPr>
          <w:rtl w:val="0"/>
        </w:rPr>
      </w:r>
    </w:p>
    <w:p w:rsidR="00000000" w:rsidDel="00000000" w:rsidP="00000000" w:rsidRDefault="00000000" w:rsidRPr="00000000" w14:paraId="0000000E">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0F">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and housekeeping</w:t>
      </w:r>
      <w:r w:rsidDel="00000000" w:rsidR="00000000" w:rsidRPr="00000000">
        <w:rPr>
          <w:rtl w:val="0"/>
        </w:rPr>
      </w:r>
    </w:p>
    <w:p w:rsidR="00000000" w:rsidDel="00000000" w:rsidP="00000000" w:rsidRDefault="00000000" w:rsidRPr="00000000" w14:paraId="00000010">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11">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2">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3">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rsidR="00000000" w:rsidDel="00000000" w:rsidP="00000000" w:rsidRDefault="00000000" w:rsidRPr="00000000" w14:paraId="00000014">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5">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16">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7">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8">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9">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1A">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1D">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1E">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Consent guidance and consent withdrawal can also be added to the GDPR section of the school website</w:t>
      </w:r>
    </w:p>
    <w:p w:rsidR="00000000" w:rsidDel="00000000" w:rsidP="00000000" w:rsidRDefault="00000000" w:rsidRPr="00000000" w14:paraId="0000001F">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1">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22">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3">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4">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5">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6">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7">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28">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29">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A">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6">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2B">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C">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7">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D">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E">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2F">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0">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8">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1">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2">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9">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3">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4">
      <w:pPr>
        <w:shd w:fill="ffffff" w:val="clear"/>
        <w:jc w:val="both"/>
        <w:rPr>
          <w:rFonts w:ascii="Calibri" w:cs="Calibri" w:eastAsia="Calibri" w:hAnsi="Calibri"/>
          <w:b w:val="1"/>
          <w:color w:val="222222"/>
          <w:sz w:val="24"/>
          <w:szCs w:val="24"/>
        </w:rPr>
      </w:pPr>
      <w:r w:rsidDel="00000000" w:rsidR="00000000" w:rsidRPr="00000000">
        <w:rPr>
          <w:rFonts w:ascii="Calibri" w:cs="Calibri" w:eastAsia="Calibri" w:hAnsi="Calibri"/>
          <w:color w:val="222222"/>
          <w:sz w:val="24"/>
          <w:szCs w:val="24"/>
          <w:highlight w:val="white"/>
          <w:rtl w:val="0"/>
        </w:rPr>
        <w:t xml:space="preserve">For </w:t>
      </w:r>
      <w:r w:rsidDel="00000000" w:rsidR="00000000" w:rsidRPr="00000000">
        <w:rPr>
          <w:rFonts w:ascii="Calibri" w:cs="Calibri" w:eastAsia="Calibri" w:hAnsi="Calibri"/>
          <w:b w:val="1"/>
          <w:color w:val="222222"/>
          <w:sz w:val="24"/>
          <w:szCs w:val="24"/>
          <w:highlight w:val="white"/>
          <w:rtl w:val="0"/>
        </w:rPr>
        <w:t xml:space="preserve">new staff</w:t>
      </w:r>
      <w:r w:rsidDel="00000000" w:rsidR="00000000" w:rsidRPr="00000000">
        <w:rPr>
          <w:rFonts w:ascii="Calibri" w:cs="Calibri" w:eastAsia="Calibri" w:hAnsi="Calibri"/>
          <w:color w:val="222222"/>
          <w:sz w:val="24"/>
          <w:szCs w:val="24"/>
          <w:highlight w:val="white"/>
          <w:rtl w:val="0"/>
        </w:rPr>
        <w:t xml:space="preserve"> if not already, consider including DPE’s e-learning  GDPR training as part of the </w:t>
      </w:r>
      <w:r w:rsidDel="00000000" w:rsidR="00000000" w:rsidRPr="00000000">
        <w:rPr>
          <w:rFonts w:ascii="Calibri" w:cs="Calibri" w:eastAsia="Calibri" w:hAnsi="Calibri"/>
          <w:b w:val="1"/>
          <w:color w:val="222222"/>
          <w:sz w:val="24"/>
          <w:szCs w:val="24"/>
          <w:highlight w:val="white"/>
          <w:rtl w:val="0"/>
        </w:rPr>
        <w:t xml:space="preserve">induction process. </w:t>
      </w:r>
      <w:r w:rsidDel="00000000" w:rsidR="00000000" w:rsidRPr="00000000">
        <w:rPr>
          <w:rFonts w:ascii="Calibri" w:cs="Calibri" w:eastAsia="Calibri" w:hAnsi="Calibri"/>
          <w:color w:val="222222"/>
          <w:sz w:val="24"/>
          <w:szCs w:val="24"/>
          <w:highlight w:val="white"/>
          <w:rtl w:val="0"/>
        </w:rPr>
        <w:t xml:space="preserve">For existing staff, if no GDPR training has been completed in he last 2 years, consider staff completing DPE’s </w:t>
      </w:r>
      <w:r w:rsidDel="00000000" w:rsidR="00000000" w:rsidRPr="00000000">
        <w:rPr>
          <w:rFonts w:ascii="Calibri" w:cs="Calibri" w:eastAsia="Calibri" w:hAnsi="Calibri"/>
          <w:b w:val="1"/>
          <w:color w:val="222222"/>
          <w:sz w:val="24"/>
          <w:szCs w:val="24"/>
          <w:highlight w:val="white"/>
          <w:rtl w:val="0"/>
        </w:rPr>
        <w:t xml:space="preserve">GDPR refresh training.</w:t>
      </w:r>
      <w:r w:rsidDel="00000000" w:rsidR="00000000" w:rsidRPr="00000000">
        <w:rPr>
          <w:rtl w:val="0"/>
        </w:rPr>
      </w:r>
    </w:p>
    <w:p w:rsidR="00000000" w:rsidDel="00000000" w:rsidP="00000000" w:rsidRDefault="00000000" w:rsidRPr="00000000" w14:paraId="00000035">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6">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w:t>
      </w:r>
      <w:r w:rsidDel="00000000" w:rsidR="00000000" w:rsidRPr="00000000">
        <w:rPr>
          <w:rFonts w:ascii="Calibri" w:cs="Calibri" w:eastAsia="Calibri" w:hAnsi="Calibri"/>
          <w:b w:val="1"/>
          <w:color w:val="222222"/>
          <w:sz w:val="24"/>
          <w:szCs w:val="24"/>
          <w:rtl w:val="0"/>
        </w:rPr>
        <w:t xml:space="preserve">National Cyber Security Centre website:</w:t>
      </w:r>
      <w:r w:rsidDel="00000000" w:rsidR="00000000" w:rsidRPr="00000000">
        <w:rPr>
          <w:rFonts w:ascii="Calibri" w:cs="Calibri" w:eastAsia="Calibri" w:hAnsi="Calibri"/>
          <w:color w:val="222222"/>
          <w:sz w:val="24"/>
          <w:szCs w:val="24"/>
          <w:rtl w:val="0"/>
        </w:rPr>
        <w:t xml:space="preserve"> </w:t>
      </w:r>
      <w:hyperlink r:id="rId10">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7">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1">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8">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2">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39">
      <w:pPr>
        <w:spacing w:after="200" w:before="20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3B">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3C">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3D">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3E">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3F">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0">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1">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2">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3">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4">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3">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5">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4">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46">
      <w:pPr>
        <w:widowControl w:val="0"/>
        <w:numPr>
          <w:ilvl w:val="0"/>
          <w:numId w:val="1"/>
        </w:numPr>
        <w:spacing w:line="276" w:lineRule="auto"/>
        <w:ind w:left="720" w:hanging="360"/>
        <w:rPr>
          <w:rFonts w:ascii="Calibri" w:cs="Calibri" w:eastAsia="Calibri" w:hAnsi="Calibri"/>
          <w:sz w:val="24"/>
          <w:szCs w:val="24"/>
        </w:rPr>
      </w:pPr>
      <w:hyperlink r:id="rId15">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47">
      <w:pPr>
        <w:widowControl w:val="0"/>
        <w:numPr>
          <w:ilvl w:val="0"/>
          <w:numId w:val="1"/>
        </w:numPr>
        <w:spacing w:line="276" w:lineRule="auto"/>
        <w:ind w:left="720" w:hanging="360"/>
        <w:rPr>
          <w:rFonts w:ascii="Calibri" w:cs="Calibri" w:eastAsia="Calibri" w:hAnsi="Calibri"/>
          <w:sz w:val="24"/>
          <w:szCs w:val="24"/>
        </w:rPr>
      </w:pPr>
      <w:hyperlink r:id="rId16">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48">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7">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49">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4A">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18">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19">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B">
      <w:pPr>
        <w:widowControl w:val="0"/>
        <w:numPr>
          <w:ilvl w:val="0"/>
          <w:numId w:val="1"/>
        </w:numPr>
        <w:spacing w:line="276" w:lineRule="auto"/>
        <w:ind w:left="720" w:hanging="360"/>
        <w:rPr>
          <w:rFonts w:ascii="Calibri" w:cs="Calibri" w:eastAsia="Calibri" w:hAnsi="Calibri"/>
          <w:sz w:val="24"/>
          <w:szCs w:val="24"/>
        </w:rPr>
      </w:pPr>
      <w:hyperlink r:id="rId20">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4C">
      <w:pPr>
        <w:widowControl w:val="0"/>
        <w:numPr>
          <w:ilvl w:val="0"/>
          <w:numId w:val="1"/>
        </w:numPr>
        <w:spacing w:line="276" w:lineRule="auto"/>
        <w:ind w:left="720" w:hanging="360"/>
        <w:rPr>
          <w:rFonts w:ascii="Calibri" w:cs="Calibri" w:eastAsia="Calibri" w:hAnsi="Calibri"/>
          <w:sz w:val="24"/>
          <w:szCs w:val="24"/>
        </w:rPr>
      </w:pPr>
      <w:hyperlink r:id="rId21">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4D">
      <w:pPr>
        <w:widowControl w:val="0"/>
        <w:numPr>
          <w:ilvl w:val="0"/>
          <w:numId w:val="1"/>
        </w:numPr>
        <w:spacing w:line="276" w:lineRule="auto"/>
        <w:ind w:left="720" w:hanging="360"/>
        <w:rPr>
          <w:rFonts w:ascii="Calibri" w:cs="Calibri" w:eastAsia="Calibri" w:hAnsi="Calibri"/>
          <w:sz w:val="24"/>
          <w:szCs w:val="24"/>
        </w:rPr>
      </w:pPr>
      <w:hyperlink r:id="rId22">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4F">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50">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1">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now a</w:t>
      </w:r>
      <w:r w:rsidDel="00000000" w:rsidR="00000000" w:rsidRPr="00000000">
        <w:rPr>
          <w:rFonts w:ascii="Calibri" w:cs="Calibri" w:eastAsia="Calibri" w:hAnsi="Calibri"/>
          <w:b w:val="1"/>
          <w:sz w:val="24"/>
          <w:szCs w:val="24"/>
          <w:rtl w:val="0"/>
        </w:rPr>
        <w:t xml:space="preserve"> Making the rounds electronic audit walk </w:t>
      </w:r>
      <w:r w:rsidDel="00000000" w:rsidR="00000000" w:rsidRPr="00000000">
        <w:rPr>
          <w:rFonts w:ascii="Calibri" w:cs="Calibri" w:eastAsia="Calibri" w:hAnsi="Calibri"/>
          <w:sz w:val="24"/>
          <w:szCs w:val="24"/>
          <w:rtl w:val="0"/>
        </w:rPr>
        <w:t xml:space="preserve">that can be completed by you in school. This tool will also be used by consultants when we visit. By completing electronically,  allows you to log and keep a record and is accessible via the My Activities tab on the DPE website:  </w:t>
      </w:r>
      <w:hyperlink r:id="rId23">
        <w:r w:rsidDel="00000000" w:rsidR="00000000" w:rsidRPr="00000000">
          <w:rPr>
            <w:rFonts w:ascii="Calibri" w:cs="Calibri" w:eastAsia="Calibri" w:hAnsi="Calibri"/>
            <w:color w:val="1155cc"/>
            <w:sz w:val="24"/>
            <w:szCs w:val="24"/>
            <w:u w:val="single"/>
            <w:rtl w:val="0"/>
          </w:rPr>
          <w:t xml:space="preserve">https://dataprotection.education/courses-heading/making-the-rounds-log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2">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54">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5">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w:t>
      </w:r>
      <w:hyperlink r:id="rId24">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8">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for supporting schools</w:t>
      </w:r>
      <w:r w:rsidDel="00000000" w:rsidR="00000000" w:rsidRPr="00000000">
        <w:rPr>
          <w:rtl w:val="0"/>
        </w:rPr>
      </w:r>
    </w:p>
    <w:p w:rsidR="00000000" w:rsidDel="00000000" w:rsidP="00000000" w:rsidRDefault="00000000" w:rsidRPr="00000000" w14:paraId="00000059">
      <w:pPr>
        <w:shd w:fill="ffffff" w:val="clear"/>
        <w:spacing w:after="160" w:lineRule="auto"/>
        <w:rPr>
          <w:rFonts w:ascii="Calibri" w:cs="Calibri" w:eastAsia="Calibri" w:hAnsi="Calibri"/>
          <w:color w:val="4a4a4a"/>
          <w:sz w:val="24"/>
          <w:szCs w:val="24"/>
        </w:rPr>
      </w:pPr>
      <w:r w:rsidDel="00000000" w:rsidR="00000000" w:rsidRPr="00000000">
        <w:rPr>
          <w:b w:val="1"/>
          <w:color w:val="4a4a4a"/>
          <w:sz w:val="21"/>
          <w:szCs w:val="21"/>
          <w:rtl w:val="0"/>
        </w:rPr>
        <w:t xml:space="preserve">Article 30 GDPR: </w:t>
      </w:r>
      <w:r w:rsidDel="00000000" w:rsidR="00000000" w:rsidRPr="00000000">
        <w:rPr>
          <w:rFonts w:ascii="Calibri" w:cs="Calibri" w:eastAsia="Calibri" w:hAnsi="Calibri"/>
          <w:color w:val="4a4a4a"/>
          <w:sz w:val="24"/>
          <w:szCs w:val="24"/>
          <w:rtl w:val="0"/>
        </w:rPr>
        <w:t xml:space="preserve">Each controller and, where applicable, the controller's representative, shall maintain a record of processing activities under its responsibility. </w:t>
      </w:r>
    </w:p>
    <w:p w:rsidR="00000000" w:rsidDel="00000000" w:rsidP="00000000" w:rsidRDefault="00000000" w:rsidRPr="00000000" w14:paraId="0000005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has developed their own RoP with many of the processes completed that can be mapped across and tailored for your school. DPE</w:t>
      </w:r>
      <w:r w:rsidDel="00000000" w:rsidR="00000000" w:rsidRPr="00000000">
        <w:rPr>
          <w:rFonts w:ascii="Calibri" w:cs="Calibri" w:eastAsia="Calibri" w:hAnsi="Calibri"/>
          <w:sz w:val="24"/>
          <w:szCs w:val="24"/>
          <w:rtl w:val="0"/>
        </w:rPr>
        <w:t xml:space="preserve"> will continue to work with you and demonstrate how the RoP can be adapted to reflect your school’s individual practice. </w:t>
      </w:r>
    </w:p>
    <w:p w:rsidR="00000000" w:rsidDel="00000000" w:rsidP="00000000" w:rsidRDefault="00000000" w:rsidRPr="00000000" w14:paraId="0000005B">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5C">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5D">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tl w:val="0"/>
        </w:rPr>
      </w:r>
    </w:p>
    <w:sectPr>
      <w:headerReference r:id="rId25"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microsoft.com/en-us/microsoft-365/compliance/retention?view=o365-worldwide" TargetMode="External"/><Relationship Id="rId22" Type="http://schemas.openxmlformats.org/officeDocument/2006/relationships/hyperlink" Target="https://support.capitasoftware.com/csm?id=kb_article_view&amp;sysparm_article=KB0035802&amp;sys_kb_id=1915cce21b9f3010c723edb2b24bcbce&amp;spa=1" TargetMode="External"/><Relationship Id="rId21" Type="http://schemas.openxmlformats.org/officeDocument/2006/relationships/hyperlink" Target="https://support.google.com/vault/answer/2990828?hl=en" TargetMode="External"/><Relationship Id="rId24" Type="http://schemas.openxmlformats.org/officeDocument/2006/relationships/hyperlink" Target="https://dataprotection.education/courses-heading/dpe-events" TargetMode="External"/><Relationship Id="rId23" Type="http://schemas.openxmlformats.org/officeDocument/2006/relationships/hyperlink" Target="https://dataprotection.education/courses-heading/making-the-rounds-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courses-heading/stay-safe-online-ncsc"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ataprotection.education/index.php/best-practice-library/best-practice/due-diligence-best-practice-area" TargetMode="External"/><Relationship Id="rId7" Type="http://schemas.openxmlformats.org/officeDocument/2006/relationships/hyperlink" Target="https://dataprotection.education/news-top/news/231-the-importance-of-carrying-out-supplier-due-diligence" TargetMode="External"/><Relationship Id="rId8" Type="http://schemas.openxmlformats.org/officeDocument/2006/relationships/hyperlink" Target="https://dataprotection.education/best-practice-library/documents/information-technology-security" TargetMode="External"/><Relationship Id="rId11" Type="http://schemas.openxmlformats.org/officeDocument/2006/relationships/hyperlink" Target="https://www.ncsc.gov.uk/section/education-skills/schools" TargetMode="External"/><Relationship Id="rId10" Type="http://schemas.openxmlformats.org/officeDocument/2006/relationships/hyperlink" Target="http://ncsc.gov.uk/" TargetMode="External"/><Relationship Id="rId13" Type="http://schemas.openxmlformats.org/officeDocument/2006/relationships/hyperlink" Target="https://irms.org.uk/page/SchoolsToolkit" TargetMode="External"/><Relationship Id="rId12" Type="http://schemas.openxmlformats.org/officeDocument/2006/relationships/hyperlink" Target="https://www.ncsc.gov.uk/information/school-governor-questions" TargetMode="External"/><Relationship Id="rId15"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14" Type="http://schemas.openxmlformats.org/officeDocument/2006/relationships/hyperlink" Target="https://dataprotection.education/index.php/best-practice-library/best-practice/records-management" TargetMode="External"/><Relationship Id="rId17" Type="http://schemas.openxmlformats.org/officeDocument/2006/relationships/hyperlink" Target="https://dataprotection.education/index.php?option=com_tjucm&amp;view=items&amp;client=com_tjucm.rop&amp;filter_process=generic&amp;Itemid=1258" TargetMode="External"/><Relationship Id="rId16" Type="http://schemas.openxmlformats.org/officeDocument/2006/relationships/hyperlink" Target="https://ico.org.uk/for-organisations/guide-to-data-protection/guide-to-the-general-data-protection-regulation-gdpr/principles/storage-limitation/" TargetMode="External"/><Relationship Id="rId19" Type="http://schemas.openxmlformats.org/officeDocument/2006/relationships/hyperlink" Target="https://www.legislation.gov.uk/uksi/2021/833/contents/made" TargetMode="External"/><Relationship Id="rId18" Type="http://schemas.openxmlformats.org/officeDocument/2006/relationships/hyperlink" Target="https://www.legislation.gov.uk/ukpga/1980/5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