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311CD815" w:rsidR="00872C54" w:rsidRPr="00195D96" w:rsidRDefault="00872C54" w:rsidP="00F6187D">
      <w:pPr>
        <w:pStyle w:val="Heading2"/>
        <w:rPr>
          <w:rFonts w:ascii="Calibri" w:hAnsi="Calibri" w:cs="Calibri"/>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7B6A30">
        <w:rPr>
          <w:rFonts w:ascii="Calibri" w:hAnsi="Calibri" w:cs="Calibri"/>
          <w:color w:val="4BACC6"/>
          <w:sz w:val="32"/>
          <w:szCs w:val="32"/>
        </w:rPr>
        <w:tab/>
      </w:r>
      <w:r w:rsidR="007B6A30">
        <w:rPr>
          <w:rFonts w:ascii="Calibri" w:hAnsi="Calibri" w:cs="Calibri"/>
          <w:color w:val="4BACC6"/>
          <w:sz w:val="32"/>
          <w:szCs w:val="32"/>
        </w:rPr>
        <w:tab/>
      </w:r>
      <w:r w:rsidR="000E7F94">
        <w:rPr>
          <w:rFonts w:ascii="Calibri" w:hAnsi="Calibri" w:cs="Calibri"/>
          <w:color w:val="4BACC6"/>
          <w:sz w:val="32"/>
          <w:szCs w:val="32"/>
        </w:rPr>
        <w:t>Hingham Primary School</w:t>
      </w:r>
      <w:r w:rsidRPr="00195D96">
        <w:rPr>
          <w:rFonts w:ascii="Calibri" w:hAnsi="Calibri" w:cs="Calibri"/>
          <w:color w:val="4BACC6"/>
          <w:sz w:val="32"/>
          <w:szCs w:val="32"/>
        </w:rPr>
        <w:t xml:space="preserve">   </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0E7F94">
        <w:rPr>
          <w:rFonts w:ascii="Calibri" w:hAnsi="Calibri" w:cs="Calibri"/>
          <w:color w:val="4BACC6"/>
          <w:sz w:val="32"/>
          <w:szCs w:val="32"/>
        </w:rPr>
        <w:t>05/07</w:t>
      </w:r>
      <w:r w:rsidRPr="00195D96">
        <w:rPr>
          <w:rFonts w:ascii="Calibri" w:hAnsi="Calibri" w:cs="Calibri"/>
          <w:color w:val="4BACC6"/>
          <w:sz w:val="32"/>
          <w:szCs w:val="32"/>
        </w:rPr>
        <w:t>/2022</w:t>
      </w:r>
    </w:p>
    <w:p w14:paraId="3DBD5F63" w14:textId="5D2E27E2" w:rsidR="00872C54" w:rsidRPr="00195D96" w:rsidRDefault="00872C54" w:rsidP="00F6187D">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F6187D">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79A06CF0" w:rsidR="00872C54" w:rsidRPr="00195D96" w:rsidRDefault="00872C54" w:rsidP="00F6187D">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0E7F94">
        <w:rPr>
          <w:rFonts w:ascii="Calibri" w:eastAsia="Calibri" w:hAnsi="Calibri" w:cs="Calibri"/>
          <w:color w:val="0591B4"/>
          <w:sz w:val="32"/>
          <w:szCs w:val="32"/>
        </w:rPr>
        <w:t xml:space="preserve">Cathy De </w:t>
      </w:r>
      <w:proofErr w:type="spellStart"/>
      <w:r w:rsidR="000E7F94">
        <w:rPr>
          <w:rFonts w:ascii="Calibri" w:eastAsia="Calibri" w:hAnsi="Calibri" w:cs="Calibri"/>
          <w:color w:val="0591B4"/>
          <w:sz w:val="32"/>
          <w:szCs w:val="32"/>
        </w:rPr>
        <w:t>Micco</w:t>
      </w:r>
      <w:proofErr w:type="spellEnd"/>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16FEE589"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w:t>
      </w:r>
      <w:r w:rsidR="00E71460">
        <w:rPr>
          <w:rFonts w:ascii="Calibri" w:eastAsia="Calibri" w:hAnsi="Calibri" w:cs="Calibri"/>
          <w:sz w:val="24"/>
          <w:szCs w:val="24"/>
        </w:rPr>
        <w:t xml:space="preserve">training &amp; </w:t>
      </w:r>
      <w:r w:rsidRPr="00195D96">
        <w:rPr>
          <w:rFonts w:ascii="Calibri" w:eastAsia="Calibri" w:hAnsi="Calibri" w:cs="Calibri"/>
          <w:sz w:val="24"/>
          <w:szCs w:val="24"/>
        </w:rPr>
        <w:t>changes - housekeeping</w:t>
      </w:r>
    </w:p>
    <w:p w14:paraId="41258F63" w14:textId="6A4A1485"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3702227C" w14:textId="579794AF" w:rsidR="001219A5" w:rsidRPr="00195D96" w:rsidRDefault="001219A5"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60C244A5"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17D05618" w14:textId="015BD200" w:rsidR="00B36E62" w:rsidRPr="00195D96" w:rsidRDefault="00B36E62"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Any other business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B1CB7AC"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w:t>
      </w:r>
      <w:r w:rsidR="00A90D22">
        <w:rPr>
          <w:rFonts w:ascii="Calibri" w:eastAsia="Calibri" w:hAnsi="Calibri" w:cs="Calibri"/>
          <w:b/>
          <w:color w:val="0591B4"/>
          <w:sz w:val="32"/>
          <w:szCs w:val="32"/>
          <w:highlight w:val="white"/>
        </w:rPr>
        <w:t xml:space="preserve">training &amp; </w:t>
      </w:r>
      <w:r w:rsidRPr="00195D96">
        <w:rPr>
          <w:rFonts w:ascii="Calibri" w:eastAsia="Calibri" w:hAnsi="Calibri" w:cs="Calibri"/>
          <w:b/>
          <w:color w:val="0591B4"/>
          <w:sz w:val="32"/>
          <w:szCs w:val="32"/>
          <w:highlight w:val="white"/>
        </w:rPr>
        <w:t>changes</w:t>
      </w:r>
    </w:p>
    <w:p w14:paraId="1D6DC0D7" w14:textId="1C853A18" w:rsidR="00EA38A9" w:rsidRDefault="00710F0A" w:rsidP="00F6187D">
      <w:pPr>
        <w:ind w:left="567"/>
        <w:rPr>
          <w:rFonts w:ascii="Calibri" w:eastAsia="Calibri" w:hAnsi="Calibri" w:cs="Calibri"/>
          <w:sz w:val="24"/>
          <w:szCs w:val="24"/>
        </w:rPr>
      </w:pPr>
      <w:r>
        <w:rPr>
          <w:rFonts w:ascii="Calibri" w:eastAsia="Calibri" w:hAnsi="Calibri" w:cs="Calibri"/>
          <w:sz w:val="24"/>
          <w:szCs w:val="24"/>
        </w:rPr>
        <w:t>T</w:t>
      </w:r>
      <w:r w:rsidR="00571295">
        <w:rPr>
          <w:rFonts w:ascii="Calibri" w:eastAsia="Calibri" w:hAnsi="Calibri" w:cs="Calibri"/>
          <w:sz w:val="24"/>
          <w:szCs w:val="24"/>
        </w:rPr>
        <w:t>he induction process include</w:t>
      </w:r>
      <w:r>
        <w:rPr>
          <w:rFonts w:ascii="Calibri" w:eastAsia="Calibri" w:hAnsi="Calibri" w:cs="Calibri"/>
          <w:sz w:val="24"/>
          <w:szCs w:val="24"/>
        </w:rPr>
        <w:t>s</w:t>
      </w:r>
      <w:r w:rsidR="00571295">
        <w:rPr>
          <w:rFonts w:ascii="Calibri" w:eastAsia="Calibri" w:hAnsi="Calibri" w:cs="Calibri"/>
          <w:sz w:val="24"/>
          <w:szCs w:val="24"/>
        </w:rPr>
        <w:t xml:space="preserve"> adding new staff members to the Knowledge Bank</w:t>
      </w:r>
      <w:r>
        <w:rPr>
          <w:rFonts w:ascii="Calibri" w:eastAsia="Calibri" w:hAnsi="Calibri" w:cs="Calibri"/>
          <w:sz w:val="24"/>
          <w:szCs w:val="24"/>
        </w:rPr>
        <w:t>.</w:t>
      </w:r>
      <w:r w:rsidR="00571295">
        <w:rPr>
          <w:rFonts w:ascii="Calibri" w:eastAsia="Calibri" w:hAnsi="Calibri" w:cs="Calibri"/>
          <w:sz w:val="24"/>
          <w:szCs w:val="24"/>
        </w:rPr>
        <w:t xml:space="preserve">  </w:t>
      </w:r>
      <w:r>
        <w:rPr>
          <w:rFonts w:ascii="Calibri" w:eastAsia="Calibri" w:hAnsi="Calibri" w:cs="Calibri"/>
          <w:sz w:val="24"/>
          <w:szCs w:val="24"/>
        </w:rPr>
        <w:t>Cathy is</w:t>
      </w:r>
      <w:r w:rsidR="005837B4">
        <w:rPr>
          <w:rFonts w:ascii="Calibri" w:eastAsia="Calibri" w:hAnsi="Calibri" w:cs="Calibri"/>
          <w:sz w:val="24"/>
          <w:szCs w:val="24"/>
        </w:rPr>
        <w:t xml:space="preserve"> confident in adding/removing staff as necessary</w:t>
      </w:r>
      <w:r>
        <w:rPr>
          <w:rFonts w:ascii="Calibri" w:eastAsia="Calibri" w:hAnsi="Calibri" w:cs="Calibri"/>
          <w:sz w:val="24"/>
          <w:szCs w:val="24"/>
        </w:rPr>
        <w:t>.</w:t>
      </w:r>
    </w:p>
    <w:p w14:paraId="1E6A498A" w14:textId="6E93FBE3" w:rsidR="00566839" w:rsidRDefault="00566839" w:rsidP="00F6187D">
      <w:pPr>
        <w:ind w:left="567"/>
        <w:rPr>
          <w:rFonts w:ascii="Calibri" w:eastAsia="Calibri" w:hAnsi="Calibri" w:cs="Calibri"/>
          <w:sz w:val="24"/>
          <w:szCs w:val="24"/>
        </w:rPr>
      </w:pPr>
    </w:p>
    <w:p w14:paraId="168BC390" w14:textId="0DF01D00" w:rsidR="00EA38A9" w:rsidRDefault="00566839" w:rsidP="00F6187D">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The GDPR 101 has been split into two modules, now named: An Introduction to GDPR &amp; How to Avoid a Data Breach.</w:t>
      </w:r>
      <w:r w:rsidR="00C7625D">
        <w:rPr>
          <w:rFonts w:ascii="Calibri" w:eastAsia="Calibri" w:hAnsi="Calibri" w:cs="Calibri"/>
          <w:color w:val="222222"/>
          <w:sz w:val="24"/>
          <w:szCs w:val="24"/>
          <w:highlight w:val="white"/>
        </w:rPr>
        <w:t xml:space="preserve"> </w:t>
      </w:r>
      <w:r w:rsidR="00571295">
        <w:rPr>
          <w:rFonts w:ascii="Calibri" w:eastAsia="Calibri" w:hAnsi="Calibri" w:cs="Calibri"/>
          <w:color w:val="222222"/>
          <w:sz w:val="24"/>
          <w:szCs w:val="24"/>
        </w:rPr>
        <w:t xml:space="preserve">These are recommended in addition to Stay Safe Online NCSC for all staff.  Learning Nuggets for particular topics are also available for key staff: </w:t>
      </w:r>
      <w:hyperlink r:id="rId8" w:history="1">
        <w:r w:rsidR="00F05316">
          <w:rPr>
            <w:rStyle w:val="Hyperlink"/>
          </w:rPr>
          <w:t>My Courses (</w:t>
        </w:r>
        <w:proofErr w:type="spellStart"/>
        <w:r w:rsidR="00F05316">
          <w:rPr>
            <w:rStyle w:val="Hyperlink"/>
          </w:rPr>
          <w:t>dataprotection.education</w:t>
        </w:r>
        <w:proofErr w:type="spellEnd"/>
        <w:r w:rsidR="00F05316">
          <w:rPr>
            <w:rStyle w:val="Hyperlink"/>
          </w:rPr>
          <w:t>)</w:t>
        </w:r>
      </w:hyperlink>
    </w:p>
    <w:p w14:paraId="1A982119" w14:textId="77777777" w:rsidR="00566839" w:rsidRPr="00195D96" w:rsidRDefault="00566839" w:rsidP="00F6187D">
      <w:pPr>
        <w:shd w:val="clear" w:color="auto" w:fill="FFFFFF"/>
        <w:ind w:left="567"/>
        <w:rPr>
          <w:rFonts w:ascii="Calibri" w:eastAsia="Calibri" w:hAnsi="Calibri" w:cs="Calibri"/>
          <w:b/>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113F5A53" w:rsidR="00EA38A9" w:rsidRDefault="00791CF5" w:rsidP="00F6187D">
      <w:pPr>
        <w:ind w:left="567"/>
        <w:rPr>
          <w:rFonts w:ascii="Calibri" w:eastAsia="Calibri" w:hAnsi="Calibri" w:cs="Calibri"/>
          <w:sz w:val="24"/>
          <w:szCs w:val="24"/>
        </w:rPr>
      </w:pPr>
      <w:r>
        <w:rPr>
          <w:rFonts w:ascii="Calibri" w:eastAsia="Calibri" w:hAnsi="Calibri" w:cs="Calibri"/>
          <w:sz w:val="24"/>
          <w:szCs w:val="24"/>
        </w:rPr>
        <w:t>Hingham Primary have a GDPR section on their website which includes all statutory and recommended policies and procedures, which are up to date and relevant.</w:t>
      </w:r>
    </w:p>
    <w:p w14:paraId="4678EBA8" w14:textId="27F56D24" w:rsidR="00791CF5" w:rsidRDefault="00791CF5" w:rsidP="00F6187D">
      <w:pPr>
        <w:ind w:left="567"/>
        <w:rPr>
          <w:rFonts w:ascii="Calibri" w:eastAsia="Calibri" w:hAnsi="Calibri" w:cs="Calibri"/>
          <w:sz w:val="24"/>
          <w:szCs w:val="24"/>
        </w:rPr>
      </w:pPr>
    </w:p>
    <w:p w14:paraId="45BA6288" w14:textId="77777777" w:rsidR="00710F0A" w:rsidRDefault="00791CF5" w:rsidP="00710F0A">
      <w:pPr>
        <w:ind w:left="567"/>
        <w:rPr>
          <w:rFonts w:ascii="Calibri" w:eastAsia="Calibri" w:hAnsi="Calibri" w:cs="Calibri"/>
          <w:sz w:val="24"/>
          <w:szCs w:val="24"/>
        </w:rPr>
      </w:pPr>
      <w:r>
        <w:rPr>
          <w:rFonts w:ascii="Calibri" w:eastAsia="Calibri" w:hAnsi="Calibri" w:cs="Calibri"/>
          <w:sz w:val="24"/>
          <w:szCs w:val="24"/>
        </w:rPr>
        <w:t xml:space="preserve">We now have separate Privacy Notices for Pupils/Parents, Workforce and General, plus a Child Friendly Privacy Notice in easily accessible language for children.  These are available in the Transparency section of the Knowledge Bank: </w:t>
      </w:r>
      <w:hyperlink r:id="rId9" w:history="1">
        <w:r>
          <w:rPr>
            <w:rStyle w:val="Hyperlink"/>
          </w:rPr>
          <w:t>Transparency (</w:t>
        </w:r>
        <w:proofErr w:type="spellStart"/>
        <w:r>
          <w:rPr>
            <w:rStyle w:val="Hyperlink"/>
          </w:rPr>
          <w:t>dataprotection.education</w:t>
        </w:r>
        <w:proofErr w:type="spellEnd"/>
        <w:r>
          <w:rPr>
            <w:rStyle w:val="Hyperlink"/>
          </w:rPr>
          <w:t>)</w:t>
        </w:r>
      </w:hyperlink>
    </w:p>
    <w:p w14:paraId="5F7002F8" w14:textId="77777777" w:rsidR="00710F0A" w:rsidRDefault="00710F0A" w:rsidP="00710F0A">
      <w:pPr>
        <w:ind w:left="567"/>
        <w:rPr>
          <w:rFonts w:ascii="Calibri" w:eastAsia="Calibri" w:hAnsi="Calibri" w:cs="Calibri"/>
          <w:sz w:val="24"/>
          <w:szCs w:val="24"/>
        </w:rPr>
      </w:pPr>
    </w:p>
    <w:p w14:paraId="5158E59B" w14:textId="66444D48" w:rsidR="005916DC" w:rsidRPr="00710F0A" w:rsidRDefault="00710F0A" w:rsidP="00710F0A">
      <w:pPr>
        <w:ind w:left="567"/>
        <w:rPr>
          <w:rFonts w:ascii="Calibri" w:eastAsia="Calibri" w:hAnsi="Calibri" w:cs="Calibri"/>
          <w:sz w:val="24"/>
          <w:szCs w:val="24"/>
        </w:rPr>
      </w:pPr>
      <w:r>
        <w:rPr>
          <w:rFonts w:ascii="Calibri" w:eastAsia="Calibri" w:hAnsi="Calibri" w:cs="Calibri"/>
          <w:sz w:val="24"/>
          <w:szCs w:val="24"/>
        </w:rPr>
        <w:t>T</w:t>
      </w:r>
      <w:r w:rsidR="005916DC" w:rsidRPr="00710F0A">
        <w:rPr>
          <w:rFonts w:ascii="Calibri" w:eastAsia="Calibri" w:hAnsi="Calibri" w:cs="Calibri"/>
          <w:sz w:val="24"/>
          <w:szCs w:val="24"/>
        </w:rPr>
        <w:t xml:space="preserve">here </w:t>
      </w:r>
      <w:r>
        <w:rPr>
          <w:rFonts w:ascii="Calibri" w:eastAsia="Calibri" w:hAnsi="Calibri" w:cs="Calibri"/>
          <w:sz w:val="24"/>
          <w:szCs w:val="24"/>
        </w:rPr>
        <w:t xml:space="preserve">is </w:t>
      </w:r>
      <w:r w:rsidR="005916DC" w:rsidRPr="00710F0A">
        <w:rPr>
          <w:rFonts w:ascii="Calibri" w:eastAsia="Calibri" w:hAnsi="Calibri" w:cs="Calibri"/>
          <w:sz w:val="24"/>
          <w:szCs w:val="24"/>
        </w:rPr>
        <w:t>a Work out of School Policy implemented</w:t>
      </w:r>
      <w:r>
        <w:rPr>
          <w:rFonts w:ascii="Calibri" w:eastAsia="Calibri" w:hAnsi="Calibri" w:cs="Calibri"/>
          <w:sz w:val="24"/>
          <w:szCs w:val="24"/>
        </w:rPr>
        <w:t xml:space="preserve"> and</w:t>
      </w:r>
      <w:r w:rsidR="005916DC" w:rsidRPr="00710F0A">
        <w:rPr>
          <w:rFonts w:ascii="Calibri" w:eastAsia="Calibri" w:hAnsi="Calibri" w:cs="Calibri"/>
          <w:sz w:val="24"/>
          <w:szCs w:val="24"/>
        </w:rPr>
        <w:t xml:space="preserve"> staff </w:t>
      </w:r>
      <w:r>
        <w:rPr>
          <w:rFonts w:ascii="Calibri" w:eastAsia="Calibri" w:hAnsi="Calibri" w:cs="Calibri"/>
          <w:sz w:val="24"/>
          <w:szCs w:val="24"/>
        </w:rPr>
        <w:t xml:space="preserve">are </w:t>
      </w:r>
      <w:r w:rsidR="005916DC" w:rsidRPr="00710F0A">
        <w:rPr>
          <w:rFonts w:ascii="Calibri" w:eastAsia="Calibri" w:hAnsi="Calibri" w:cs="Calibri"/>
          <w:sz w:val="24"/>
          <w:szCs w:val="24"/>
        </w:rPr>
        <w:t>aware of how to work away from school safely and securely</w:t>
      </w:r>
      <w:r>
        <w:rPr>
          <w:rFonts w:ascii="Calibri" w:eastAsia="Calibri" w:hAnsi="Calibri" w:cs="Calibri"/>
          <w:sz w:val="24"/>
          <w:szCs w:val="24"/>
        </w:rPr>
        <w:t>.</w:t>
      </w:r>
    </w:p>
    <w:p w14:paraId="300743FD" w14:textId="21C81C53" w:rsidR="005916DC" w:rsidRDefault="005916DC" w:rsidP="005916DC">
      <w:pPr>
        <w:ind w:left="567"/>
        <w:rPr>
          <w:rFonts w:ascii="Calibri" w:eastAsia="Calibri" w:hAnsi="Calibri" w:cs="Calibri"/>
          <w:sz w:val="24"/>
          <w:szCs w:val="24"/>
        </w:rPr>
      </w:pPr>
    </w:p>
    <w:p w14:paraId="30512CC4" w14:textId="540D1EDD" w:rsidR="001219A5" w:rsidRDefault="001219A5" w:rsidP="005F5D46">
      <w:pPr>
        <w:numPr>
          <w:ilvl w:val="0"/>
          <w:numId w:val="5"/>
        </w:numPr>
        <w:shd w:val="clear" w:color="auto" w:fill="FFFFFF"/>
        <w:ind w:left="567" w:hanging="567"/>
        <w:rPr>
          <w:rFonts w:ascii="Calibri" w:eastAsia="Calibri" w:hAnsi="Calibri" w:cs="Calibri"/>
          <w:b/>
          <w:bCs/>
          <w:color w:val="0591B4"/>
          <w:sz w:val="32"/>
          <w:szCs w:val="32"/>
        </w:rPr>
      </w:pPr>
      <w:r w:rsidRPr="001219A5">
        <w:rPr>
          <w:rFonts w:ascii="Calibri" w:eastAsia="Calibri" w:hAnsi="Calibri" w:cs="Calibri"/>
          <w:b/>
          <w:bCs/>
          <w:color w:val="0591B4"/>
          <w:sz w:val="32"/>
          <w:szCs w:val="32"/>
        </w:rPr>
        <w:t>Best Practice Checklist</w:t>
      </w:r>
    </w:p>
    <w:p w14:paraId="60CD17D7" w14:textId="0C29322F" w:rsidR="001219A5" w:rsidRPr="001219A5" w:rsidRDefault="001219A5" w:rsidP="001219A5">
      <w:pPr>
        <w:ind w:left="567"/>
        <w:rPr>
          <w:rFonts w:ascii="Calibri" w:eastAsia="Calibri" w:hAnsi="Calibri" w:cs="Calibri"/>
          <w:sz w:val="24"/>
          <w:szCs w:val="24"/>
        </w:rPr>
      </w:pPr>
      <w:r w:rsidRPr="00710F0A">
        <w:rPr>
          <w:rFonts w:asciiTheme="majorHAnsi" w:hAnsiTheme="majorHAnsi" w:cstheme="majorHAnsi"/>
          <w:sz w:val="24"/>
          <w:szCs w:val="24"/>
        </w:rPr>
        <w:t>Use the</w:t>
      </w:r>
      <w:r>
        <w:t xml:space="preserve"> </w:t>
      </w:r>
      <w:hyperlink r:id="rId10" w:history="1">
        <w:r w:rsidRPr="001219A5">
          <w:rPr>
            <w:rStyle w:val="Hyperlink"/>
            <w:rFonts w:ascii="Calibri" w:hAnsi="Calibri" w:cs="Calibri"/>
            <w:sz w:val="24"/>
            <w:szCs w:val="24"/>
          </w:rPr>
          <w:t>Best practice checklist (</w:t>
        </w:r>
        <w:proofErr w:type="spellStart"/>
        <w:r w:rsidRPr="001219A5">
          <w:rPr>
            <w:rStyle w:val="Hyperlink"/>
            <w:rFonts w:ascii="Calibri" w:hAnsi="Calibri" w:cs="Calibri"/>
            <w:sz w:val="24"/>
            <w:szCs w:val="24"/>
          </w:rPr>
          <w:t>dataprotection.education</w:t>
        </w:r>
        <w:proofErr w:type="spellEnd"/>
        <w:r w:rsidRPr="001219A5">
          <w:rPr>
            <w:rStyle w:val="Hyperlink"/>
            <w:rFonts w:ascii="Calibri" w:hAnsi="Calibri" w:cs="Calibri"/>
            <w:sz w:val="24"/>
            <w:szCs w:val="24"/>
          </w:rPr>
          <w:t>)</w:t>
        </w:r>
      </w:hyperlink>
      <w:r>
        <w:rPr>
          <w:rStyle w:val="Hyperlink"/>
          <w:rFonts w:ascii="Calibri" w:hAnsi="Calibri" w:cs="Calibri"/>
          <w:sz w:val="24"/>
          <w:szCs w:val="24"/>
        </w:rPr>
        <w:t xml:space="preserve"> </w:t>
      </w:r>
      <w:r>
        <w:rPr>
          <w:rStyle w:val="Hyperlink"/>
          <w:rFonts w:ascii="Calibri" w:hAnsi="Calibri" w:cs="Calibri"/>
          <w:color w:val="auto"/>
          <w:sz w:val="24"/>
          <w:szCs w:val="24"/>
          <w:u w:val="none"/>
        </w:rPr>
        <w:t>to monitor and track progress made – this can also be printed in a report form to present to Governors.</w:t>
      </w:r>
      <w:r w:rsidR="005916DC">
        <w:rPr>
          <w:rStyle w:val="Hyperlink"/>
          <w:rFonts w:ascii="Calibri" w:hAnsi="Calibri" w:cs="Calibri"/>
          <w:color w:val="auto"/>
          <w:sz w:val="24"/>
          <w:szCs w:val="24"/>
          <w:u w:val="none"/>
        </w:rPr>
        <w:t xml:space="preserve">  We updated part of the checklist during the consultation</w:t>
      </w:r>
      <w:r w:rsidR="00710F0A">
        <w:rPr>
          <w:rStyle w:val="Hyperlink"/>
          <w:rFonts w:ascii="Calibri" w:hAnsi="Calibri" w:cs="Calibri"/>
          <w:color w:val="auto"/>
          <w:sz w:val="24"/>
          <w:szCs w:val="24"/>
          <w:u w:val="none"/>
        </w:rPr>
        <w:t xml:space="preserve"> so this is now up to date.</w:t>
      </w:r>
    </w:p>
    <w:p w14:paraId="1665F74E" w14:textId="4F955414" w:rsidR="001219A5" w:rsidRDefault="001219A5" w:rsidP="001219A5">
      <w:pPr>
        <w:shd w:val="clear" w:color="auto" w:fill="FFFFFF"/>
        <w:ind w:left="567"/>
        <w:rPr>
          <w:rFonts w:ascii="Calibri" w:eastAsia="Calibri" w:hAnsi="Calibri" w:cs="Calibri"/>
          <w:b/>
          <w:bCs/>
          <w:color w:val="0591B4"/>
          <w:sz w:val="32"/>
          <w:szCs w:val="32"/>
        </w:rPr>
      </w:pPr>
    </w:p>
    <w:p w14:paraId="2EC75D42" w14:textId="77777777" w:rsidR="00571295" w:rsidRPr="001219A5" w:rsidRDefault="00571295" w:rsidP="001219A5">
      <w:pPr>
        <w:shd w:val="clear" w:color="auto" w:fill="FFFFFF"/>
        <w:ind w:left="567"/>
        <w:rPr>
          <w:rFonts w:ascii="Calibri" w:eastAsia="Calibri" w:hAnsi="Calibri" w:cs="Calibri"/>
          <w:b/>
          <w:bCs/>
          <w:color w:val="0591B4"/>
          <w:sz w:val="32"/>
          <w:szCs w:val="32"/>
        </w:rPr>
      </w:pPr>
    </w:p>
    <w:p w14:paraId="1ACB69DB" w14:textId="77777777" w:rsidR="00571295" w:rsidRPr="00571295" w:rsidRDefault="00571295" w:rsidP="00571295">
      <w:pPr>
        <w:shd w:val="clear" w:color="auto" w:fill="FFFFFF"/>
        <w:ind w:left="567"/>
        <w:rPr>
          <w:rFonts w:ascii="Calibri" w:eastAsia="Calibri" w:hAnsi="Calibri" w:cs="Calibri"/>
          <w:color w:val="0591B4"/>
          <w:sz w:val="32"/>
          <w:szCs w:val="32"/>
        </w:rPr>
      </w:pPr>
    </w:p>
    <w:p w14:paraId="25F1E1CF" w14:textId="77777777" w:rsidR="00710F0A" w:rsidRPr="00710F0A" w:rsidRDefault="00710F0A" w:rsidP="00710F0A">
      <w:pPr>
        <w:shd w:val="clear" w:color="auto" w:fill="FFFFFF"/>
        <w:ind w:left="567"/>
        <w:rPr>
          <w:rFonts w:ascii="Calibri" w:eastAsia="Calibri" w:hAnsi="Calibri" w:cs="Calibri"/>
          <w:color w:val="0591B4"/>
          <w:sz w:val="32"/>
          <w:szCs w:val="32"/>
        </w:rPr>
      </w:pPr>
    </w:p>
    <w:p w14:paraId="54B4E038" w14:textId="2376F717" w:rsidR="00EA38A9" w:rsidRPr="001219A5"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3D38AEE4" w:rsidR="00EA38A9" w:rsidRPr="00195D96" w:rsidRDefault="00710F0A" w:rsidP="005F5D46">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Linda had previously demonstrated </w:t>
      </w:r>
      <w:r w:rsidR="00775FA6">
        <w:rPr>
          <w:rFonts w:ascii="Calibri" w:eastAsia="Calibri" w:hAnsi="Calibri" w:cs="Calibri"/>
          <w:sz w:val="24"/>
          <w:szCs w:val="24"/>
        </w:rPr>
        <w:t>‘Making the Rounds’ tool</w:t>
      </w:r>
      <w:r w:rsidR="00571295">
        <w:rPr>
          <w:rFonts w:ascii="Calibri" w:eastAsia="Calibri" w:hAnsi="Calibri" w:cs="Calibri"/>
          <w:sz w:val="24"/>
          <w:szCs w:val="24"/>
        </w:rPr>
        <w:t xml:space="preserve"> during the consultation</w:t>
      </w:r>
      <w:r w:rsidR="00775FA6">
        <w:rPr>
          <w:rFonts w:ascii="Calibri" w:eastAsia="Calibri" w:hAnsi="Calibri" w:cs="Calibri"/>
          <w:sz w:val="24"/>
          <w:szCs w:val="24"/>
        </w:rPr>
        <w:t>.</w:t>
      </w:r>
      <w:r w:rsidR="005916DC">
        <w:rPr>
          <w:rFonts w:ascii="Calibri" w:eastAsia="Calibri" w:hAnsi="Calibri" w:cs="Calibri"/>
          <w:sz w:val="24"/>
          <w:szCs w:val="24"/>
        </w:rPr>
        <w:t xml:space="preserve">  This can be used to identify visible data risks and raise awareness.</w:t>
      </w:r>
      <w:r w:rsidR="00775FA6">
        <w:rPr>
          <w:rFonts w:ascii="Calibri" w:eastAsia="Calibri" w:hAnsi="Calibri" w:cs="Calibri"/>
          <w:sz w:val="24"/>
          <w:szCs w:val="24"/>
        </w:rPr>
        <w:t xml:space="preserve"> </w:t>
      </w:r>
      <w:r>
        <w:rPr>
          <w:rFonts w:ascii="Calibri" w:eastAsia="Calibri" w:hAnsi="Calibri" w:cs="Calibri"/>
          <w:sz w:val="24"/>
          <w:szCs w:val="24"/>
        </w:rPr>
        <w:t xml:space="preserve"> Lindsey will visit the school in the Autumn Term to conduct a visible data risk walk (Monday 10</w:t>
      </w:r>
      <w:r w:rsidRPr="00710F0A">
        <w:rPr>
          <w:rFonts w:ascii="Calibri" w:eastAsia="Calibri" w:hAnsi="Calibri" w:cs="Calibri"/>
          <w:sz w:val="24"/>
          <w:szCs w:val="24"/>
          <w:vertAlign w:val="superscript"/>
        </w:rPr>
        <w:t>th</w:t>
      </w:r>
      <w:r>
        <w:rPr>
          <w:rFonts w:ascii="Calibri" w:eastAsia="Calibri" w:hAnsi="Calibri" w:cs="Calibri"/>
          <w:sz w:val="24"/>
          <w:szCs w:val="24"/>
        </w:rPr>
        <w:t xml:space="preserve"> October – time TBC)</w:t>
      </w:r>
    </w:p>
    <w:p w14:paraId="42F0736E" w14:textId="77777777" w:rsidR="00EA38A9" w:rsidRPr="00195D96" w:rsidRDefault="00EA38A9" w:rsidP="005F5D46">
      <w:pPr>
        <w:ind w:left="567"/>
        <w:rPr>
          <w:rFonts w:ascii="Calibri" w:eastAsia="Calibri" w:hAnsi="Calibri" w:cs="Calibri"/>
          <w:sz w:val="24"/>
          <w:szCs w:val="24"/>
        </w:rPr>
      </w:pPr>
    </w:p>
    <w:p w14:paraId="1D8916E2" w14:textId="171EC54E" w:rsidR="00EA38A9" w:rsidRPr="00775FA6" w:rsidRDefault="00D2537B" w:rsidP="005F5D46">
      <w:pPr>
        <w:ind w:left="567"/>
        <w:rPr>
          <w:rFonts w:ascii="Calibri" w:eastAsia="Calibri" w:hAnsi="Calibri" w:cs="Calibri"/>
          <w:bCs/>
          <w:sz w:val="24"/>
          <w:szCs w:val="24"/>
        </w:rPr>
      </w:pPr>
      <w:r>
        <w:rPr>
          <w:rFonts w:ascii="Calibri" w:eastAsia="Calibri" w:hAnsi="Calibri" w:cs="Calibri"/>
          <w:bCs/>
          <w:sz w:val="24"/>
          <w:szCs w:val="24"/>
        </w:rPr>
        <w:t xml:space="preserve">Drip feed posters can be used to raise staff awareness, they’re available here: </w:t>
      </w:r>
      <w:hyperlink r:id="rId11" w:history="1">
        <w:r>
          <w:rPr>
            <w:rStyle w:val="Hyperlink"/>
          </w:rPr>
          <w:t>Drip Feeds - posters (</w:t>
        </w:r>
        <w:proofErr w:type="spellStart"/>
        <w:r>
          <w:rPr>
            <w:rStyle w:val="Hyperlink"/>
          </w:rPr>
          <w:t>dataprotection.education</w:t>
        </w:r>
        <w:proofErr w:type="spellEnd"/>
        <w:r>
          <w:rPr>
            <w:rStyle w:val="Hyperlink"/>
          </w:rPr>
          <w:t>)</w:t>
        </w:r>
      </w:hyperlink>
    </w:p>
    <w:p w14:paraId="2F3FA05D" w14:textId="77777777" w:rsidR="00EA38A9" w:rsidRPr="00195D96" w:rsidRDefault="00EA38A9" w:rsidP="005F5D46">
      <w:pPr>
        <w:ind w:left="567"/>
        <w:rPr>
          <w:rFonts w:ascii="Calibri" w:eastAsia="Calibri" w:hAnsi="Calibri" w:cs="Calibri"/>
          <w:sz w:val="24"/>
          <w:szCs w:val="24"/>
        </w:rPr>
      </w:pPr>
    </w:p>
    <w:p w14:paraId="36F7D578" w14:textId="77777777" w:rsidR="00EA38A9" w:rsidRPr="00195D96" w:rsidRDefault="00EA38A9" w:rsidP="005F5D46">
      <w:pPr>
        <w:ind w:left="567"/>
        <w:rPr>
          <w:rFonts w:ascii="Calibri" w:eastAsia="Calibri" w:hAnsi="Calibri" w:cs="Calibri"/>
          <w:b/>
          <w:sz w:val="24"/>
          <w:szCs w:val="24"/>
        </w:rPr>
      </w:pPr>
    </w:p>
    <w:p w14:paraId="5CC53396" w14:textId="38198A45" w:rsidR="00EA38A9" w:rsidRPr="00B36E62" w:rsidRDefault="00913FAF" w:rsidP="005F5D46">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40AB5FF4" w14:textId="77777777" w:rsidR="00B36E62" w:rsidRPr="00B36E62" w:rsidRDefault="00B36E62" w:rsidP="00B36E62">
      <w:pPr>
        <w:ind w:left="567"/>
        <w:rPr>
          <w:rFonts w:ascii="Calibri" w:eastAsia="Calibri" w:hAnsi="Calibri" w:cs="Calibri"/>
          <w:sz w:val="24"/>
          <w:szCs w:val="24"/>
        </w:rPr>
      </w:pPr>
      <w:r w:rsidRPr="00B36E62">
        <w:rPr>
          <w:rFonts w:ascii="Calibri" w:eastAsia="Calibri" w:hAnsi="Calibri" w:cs="Calibri"/>
          <w:sz w:val="24"/>
          <w:szCs w:val="24"/>
        </w:rPr>
        <w:t xml:space="preserve">Check out the latest webinars and workshops from the My Activities section of the DPE website. More will be added to the page for the new academic year, you can check here for updates: </w:t>
      </w:r>
      <w:hyperlink r:id="rId12">
        <w:r w:rsidRPr="00B36E62">
          <w:rPr>
            <w:rFonts w:ascii="Calibri" w:eastAsia="Calibri" w:hAnsi="Calibri" w:cs="Calibri"/>
            <w:color w:val="1155CC"/>
            <w:sz w:val="24"/>
            <w:szCs w:val="24"/>
            <w:u w:val="single"/>
          </w:rPr>
          <w:t>https://dataprotection.education/courses-heading/dpe-events</w:t>
        </w:r>
      </w:hyperlink>
      <w:r w:rsidRPr="00B36E62">
        <w:rPr>
          <w:rFonts w:ascii="Calibri" w:eastAsia="Calibri" w:hAnsi="Calibri" w:cs="Calibri"/>
          <w:sz w:val="24"/>
          <w:szCs w:val="24"/>
        </w:rPr>
        <w:t xml:space="preserve"> </w:t>
      </w:r>
    </w:p>
    <w:p w14:paraId="46DA52E8" w14:textId="77777777" w:rsidR="00B36E62" w:rsidRPr="00B36E62" w:rsidRDefault="00B36E62" w:rsidP="00B36E62">
      <w:pPr>
        <w:ind w:left="567"/>
        <w:rPr>
          <w:rFonts w:ascii="Calibri" w:eastAsia="Calibri" w:hAnsi="Calibri" w:cs="Calibri"/>
          <w:color w:val="0591B4"/>
          <w:sz w:val="32"/>
          <w:szCs w:val="32"/>
        </w:rPr>
      </w:pPr>
    </w:p>
    <w:p w14:paraId="5AB18E60" w14:textId="222D4BC9" w:rsidR="00B36E62" w:rsidRPr="00195D96" w:rsidRDefault="00B36E62" w:rsidP="005F5D46">
      <w:pPr>
        <w:numPr>
          <w:ilvl w:val="0"/>
          <w:numId w:val="5"/>
        </w:numPr>
        <w:ind w:left="567" w:hanging="567"/>
        <w:rPr>
          <w:rFonts w:ascii="Calibri" w:eastAsia="Calibri" w:hAnsi="Calibri" w:cs="Calibri"/>
          <w:color w:val="0591B4"/>
          <w:sz w:val="32"/>
          <w:szCs w:val="32"/>
        </w:rPr>
      </w:pPr>
      <w:r>
        <w:rPr>
          <w:rFonts w:ascii="Calibri" w:eastAsia="Calibri" w:hAnsi="Calibri" w:cs="Calibri"/>
          <w:b/>
          <w:color w:val="0591B4"/>
          <w:sz w:val="32"/>
          <w:szCs w:val="32"/>
        </w:rPr>
        <w:t>Any other business</w:t>
      </w:r>
    </w:p>
    <w:p w14:paraId="27BC704D" w14:textId="7393C95C" w:rsidR="00EA38A9" w:rsidRDefault="00B36E62" w:rsidP="005F5D46">
      <w:pPr>
        <w:ind w:left="567"/>
        <w:rPr>
          <w:rFonts w:ascii="Calibri" w:eastAsia="Calibri" w:hAnsi="Calibri" w:cs="Calibri"/>
          <w:bCs/>
          <w:sz w:val="24"/>
          <w:szCs w:val="24"/>
        </w:rPr>
      </w:pPr>
      <w:r w:rsidRPr="00B36E62">
        <w:rPr>
          <w:rFonts w:ascii="Calibri" w:eastAsia="Calibri" w:hAnsi="Calibri" w:cs="Calibri"/>
          <w:bCs/>
          <w:sz w:val="24"/>
          <w:szCs w:val="24"/>
        </w:rPr>
        <w:t>Cathy queried using an archive section on the SCR</w:t>
      </w:r>
      <w:r>
        <w:rPr>
          <w:rFonts w:ascii="Calibri" w:eastAsia="Calibri" w:hAnsi="Calibri" w:cs="Calibri"/>
          <w:bCs/>
          <w:sz w:val="24"/>
          <w:szCs w:val="24"/>
        </w:rPr>
        <w:t xml:space="preserve"> for, example, supply staff who may return to work at the school in the near future?  My advice would be for individuals whom may return to work in the school within a reasonably short period of time, and that it is documented the reason for retaining their data, that it would be acceptable (from a data protection point of view) to do so.</w:t>
      </w:r>
    </w:p>
    <w:p w14:paraId="07A0C556" w14:textId="3DBF31E9" w:rsidR="00B36E62" w:rsidRDefault="00B36E62" w:rsidP="005F5D46">
      <w:pPr>
        <w:ind w:left="567"/>
        <w:rPr>
          <w:rFonts w:ascii="Calibri" w:eastAsia="Calibri" w:hAnsi="Calibri" w:cs="Calibri"/>
          <w:bCs/>
          <w:sz w:val="24"/>
          <w:szCs w:val="24"/>
        </w:rPr>
      </w:pPr>
    </w:p>
    <w:p w14:paraId="6AEA7DED" w14:textId="5C499C42" w:rsidR="00B36E62" w:rsidRDefault="00B36E62" w:rsidP="005F5D46">
      <w:pPr>
        <w:ind w:left="567"/>
        <w:rPr>
          <w:rFonts w:ascii="Calibri" w:eastAsia="Calibri" w:hAnsi="Calibri" w:cs="Calibri"/>
          <w:bCs/>
          <w:sz w:val="24"/>
          <w:szCs w:val="24"/>
        </w:rPr>
      </w:pPr>
      <w:r>
        <w:rPr>
          <w:rFonts w:ascii="Calibri" w:eastAsia="Calibri" w:hAnsi="Calibri" w:cs="Calibri"/>
          <w:bCs/>
          <w:sz w:val="24"/>
          <w:szCs w:val="24"/>
        </w:rPr>
        <w:t>In the circumstance where an individual is unlikely to return working at the school, such as a person who no longer works with a supply agency, that their data is securely destroyed in line with SCR retention guidelines.</w:t>
      </w:r>
    </w:p>
    <w:p w14:paraId="0EFC7189" w14:textId="059C5B48" w:rsidR="00B36E62" w:rsidRDefault="00B36E62" w:rsidP="005F5D46">
      <w:pPr>
        <w:ind w:left="567"/>
        <w:rPr>
          <w:rFonts w:ascii="Calibri" w:eastAsia="Calibri" w:hAnsi="Calibri" w:cs="Calibri"/>
          <w:bCs/>
          <w:sz w:val="24"/>
          <w:szCs w:val="24"/>
        </w:rPr>
      </w:pPr>
    </w:p>
    <w:p w14:paraId="5A6689B5" w14:textId="099FC2FA" w:rsidR="00B36E62" w:rsidRPr="00B36E62" w:rsidRDefault="00B36E62" w:rsidP="005F5D46">
      <w:pPr>
        <w:ind w:left="567"/>
        <w:rPr>
          <w:rFonts w:ascii="Calibri" w:eastAsia="Calibri" w:hAnsi="Calibri" w:cs="Calibri"/>
          <w:bCs/>
          <w:sz w:val="24"/>
          <w:szCs w:val="24"/>
        </w:rPr>
      </w:pPr>
      <w:r>
        <w:rPr>
          <w:rFonts w:ascii="Calibri" w:eastAsia="Calibri" w:hAnsi="Calibri" w:cs="Calibri"/>
          <w:bCs/>
          <w:sz w:val="24"/>
          <w:szCs w:val="24"/>
        </w:rPr>
        <w:t xml:space="preserve">We briefly discussed the Cyber themed audit in the Autumn term on all NCC schools.  I advise that the school adopts the DPE Information Security Policy which will cover the majority of </w:t>
      </w:r>
      <w:r w:rsidR="006B3996">
        <w:rPr>
          <w:rFonts w:ascii="Calibri" w:eastAsia="Calibri" w:hAnsi="Calibri" w:cs="Calibri"/>
          <w:bCs/>
          <w:sz w:val="24"/>
          <w:szCs w:val="24"/>
        </w:rPr>
        <w:t xml:space="preserve">requirements of the audit. This can be found here: </w:t>
      </w:r>
      <w:hyperlink r:id="rId13" w:history="1">
        <w:r w:rsidR="006B3996">
          <w:rPr>
            <w:rStyle w:val="Hyperlink"/>
          </w:rPr>
          <w:t>Information Security (</w:t>
        </w:r>
        <w:proofErr w:type="spellStart"/>
        <w:r w:rsidR="006B3996">
          <w:rPr>
            <w:rStyle w:val="Hyperlink"/>
          </w:rPr>
          <w:t>dataprotection.education</w:t>
        </w:r>
        <w:proofErr w:type="spellEnd"/>
        <w:r w:rsidR="006B3996">
          <w:rPr>
            <w:rStyle w:val="Hyperlink"/>
          </w:rPr>
          <w:t>)</w:t>
        </w:r>
      </w:hyperlink>
    </w:p>
    <w:p w14:paraId="2131FAFC" w14:textId="77777777" w:rsidR="00A33653" w:rsidRDefault="00A33653" w:rsidP="005F5D46">
      <w:pPr>
        <w:ind w:left="567"/>
        <w:rPr>
          <w:rFonts w:ascii="Calibri" w:eastAsia="Calibri" w:hAnsi="Calibri" w:cs="Calibri"/>
          <w:b/>
          <w:color w:val="0591B4"/>
          <w:sz w:val="24"/>
          <w:szCs w:val="24"/>
        </w:rPr>
      </w:pPr>
    </w:p>
    <w:sectPr w:rsidR="00A33653">
      <w:headerReference w:type="defaul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E2EB7" w14:textId="77777777" w:rsidR="00FA74F6" w:rsidRDefault="00FA74F6">
      <w:r>
        <w:separator/>
      </w:r>
    </w:p>
  </w:endnote>
  <w:endnote w:type="continuationSeparator" w:id="0">
    <w:p w14:paraId="6294FC69" w14:textId="77777777" w:rsidR="00FA74F6" w:rsidRDefault="00FA7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CCAE9" w14:textId="77777777" w:rsidR="00FA74F6" w:rsidRDefault="00FA74F6">
      <w:r>
        <w:separator/>
      </w:r>
    </w:p>
  </w:footnote>
  <w:footnote w:type="continuationSeparator" w:id="0">
    <w:p w14:paraId="11BCD464" w14:textId="77777777" w:rsidR="00FA74F6" w:rsidRDefault="00FA7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2D47897"/>
    <w:multiLevelType w:val="hybridMultilevel"/>
    <w:tmpl w:val="126072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1007871">
    <w:abstractNumId w:val="1"/>
  </w:num>
  <w:num w:numId="2" w16cid:durableId="22370220">
    <w:abstractNumId w:val="6"/>
  </w:num>
  <w:num w:numId="3" w16cid:durableId="151988493">
    <w:abstractNumId w:val="3"/>
  </w:num>
  <w:num w:numId="4" w16cid:durableId="1737778700">
    <w:abstractNumId w:val="2"/>
  </w:num>
  <w:num w:numId="5" w16cid:durableId="563757572">
    <w:abstractNumId w:val="4"/>
  </w:num>
  <w:num w:numId="6" w16cid:durableId="1304694455">
    <w:abstractNumId w:val="7"/>
  </w:num>
  <w:num w:numId="7" w16cid:durableId="1961451470">
    <w:abstractNumId w:val="9"/>
  </w:num>
  <w:num w:numId="8" w16cid:durableId="1667828948">
    <w:abstractNumId w:val="0"/>
  </w:num>
  <w:num w:numId="9" w16cid:durableId="1754735704">
    <w:abstractNumId w:val="8"/>
  </w:num>
  <w:num w:numId="10" w16cid:durableId="1599875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63610"/>
    <w:rsid w:val="000E11B0"/>
    <w:rsid w:val="000E7F94"/>
    <w:rsid w:val="00106CE4"/>
    <w:rsid w:val="00113374"/>
    <w:rsid w:val="001219A5"/>
    <w:rsid w:val="00194150"/>
    <w:rsid w:val="00195D96"/>
    <w:rsid w:val="001A32E3"/>
    <w:rsid w:val="00222976"/>
    <w:rsid w:val="002C0202"/>
    <w:rsid w:val="00487496"/>
    <w:rsid w:val="004D2C02"/>
    <w:rsid w:val="005164D0"/>
    <w:rsid w:val="00566839"/>
    <w:rsid w:val="005705D4"/>
    <w:rsid w:val="00571295"/>
    <w:rsid w:val="005837B4"/>
    <w:rsid w:val="005848AF"/>
    <w:rsid w:val="005916DC"/>
    <w:rsid w:val="005B0F76"/>
    <w:rsid w:val="005F5D46"/>
    <w:rsid w:val="00606302"/>
    <w:rsid w:val="00620979"/>
    <w:rsid w:val="00656581"/>
    <w:rsid w:val="00657360"/>
    <w:rsid w:val="006B3996"/>
    <w:rsid w:val="006B6892"/>
    <w:rsid w:val="00710F0A"/>
    <w:rsid w:val="00775FA6"/>
    <w:rsid w:val="00791CF5"/>
    <w:rsid w:val="007B6A30"/>
    <w:rsid w:val="00800627"/>
    <w:rsid w:val="00804104"/>
    <w:rsid w:val="00872C54"/>
    <w:rsid w:val="00893BFD"/>
    <w:rsid w:val="008D766D"/>
    <w:rsid w:val="00913FAF"/>
    <w:rsid w:val="009E427A"/>
    <w:rsid w:val="00A0727C"/>
    <w:rsid w:val="00A33653"/>
    <w:rsid w:val="00A42E53"/>
    <w:rsid w:val="00A90D22"/>
    <w:rsid w:val="00AE1A4E"/>
    <w:rsid w:val="00B20A1A"/>
    <w:rsid w:val="00B36E62"/>
    <w:rsid w:val="00C46F11"/>
    <w:rsid w:val="00C47D3A"/>
    <w:rsid w:val="00C7625D"/>
    <w:rsid w:val="00CA6483"/>
    <w:rsid w:val="00CC4EE8"/>
    <w:rsid w:val="00D2537B"/>
    <w:rsid w:val="00D9140F"/>
    <w:rsid w:val="00E71460"/>
    <w:rsid w:val="00EA38A9"/>
    <w:rsid w:val="00EB5E67"/>
    <w:rsid w:val="00F05316"/>
    <w:rsid w:val="00F20D43"/>
    <w:rsid w:val="00F27C3B"/>
    <w:rsid w:val="00F6187D"/>
    <w:rsid w:val="00FA74F6"/>
    <w:rsid w:val="00FC5FC4"/>
    <w:rsid w:val="00FD3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F5D46"/>
    <w:rPr>
      <w:color w:val="0000FF"/>
      <w:u w:val="single"/>
    </w:rPr>
  </w:style>
  <w:style w:type="table" w:styleId="TableGrid">
    <w:name w:val="Table Grid"/>
    <w:basedOn w:val="TableNormal"/>
    <w:uiPriority w:val="39"/>
    <w:rsid w:val="005705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0A1A"/>
    <w:rPr>
      <w:color w:val="605E5C"/>
      <w:shd w:val="clear" w:color="auto" w:fill="E1DFDD"/>
    </w:rPr>
  </w:style>
  <w:style w:type="paragraph" w:styleId="ListParagraph">
    <w:name w:val="List Paragraph"/>
    <w:basedOn w:val="Normal"/>
    <w:uiPriority w:val="34"/>
    <w:qFormat/>
    <w:rsid w:val="00121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courses" TargetMode="External"/><Relationship Id="rId13" Type="http://schemas.openxmlformats.org/officeDocument/2006/relationships/hyperlink" Target="https://dataprotection.education/best-practice-library/best-practice/information-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courses-heading/dpe-ev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documents/drip-fee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protection.education/best-practice-library/checklist"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transparenc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94C6A-4B53-4952-90F5-54E23D735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2022-07-05T08:47:00Z</dcterms:created>
  <dcterms:modified xsi:type="dcterms:W3CDTF">2022-07-05T13:59:00Z</dcterms:modified>
</cp:coreProperties>
</file>