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115217F3" w:rsidR="00872C54" w:rsidRPr="00195D96" w:rsidRDefault="00872C54" w:rsidP="00F6187D">
      <w:pPr>
        <w:pStyle w:val="Heading2"/>
        <w:rPr>
          <w:rFonts w:ascii="Calibri" w:hAnsi="Calibri" w:cs="Calibri"/>
          <w:color w:val="4BACC6"/>
          <w:sz w:val="32"/>
          <w:szCs w:val="32"/>
        </w:rPr>
      </w:pPr>
      <w:r w:rsidRPr="00195D96">
        <w:rPr>
          <w:rFonts w:ascii="Calibri" w:hAnsi="Calibri" w:cs="Calibri"/>
          <w:color w:val="4BACC6"/>
          <w:sz w:val="32"/>
          <w:szCs w:val="32"/>
        </w:rPr>
        <w:t>School:</w:t>
      </w:r>
      <w:r w:rsidRPr="00195D96">
        <w:rPr>
          <w:rFonts w:ascii="Calibri" w:hAnsi="Calibri" w:cs="Calibri"/>
          <w:color w:val="4BACC6"/>
          <w:sz w:val="32"/>
          <w:szCs w:val="32"/>
        </w:rPr>
        <w:tab/>
      </w:r>
      <w:r w:rsidR="007B6A30">
        <w:rPr>
          <w:rFonts w:ascii="Calibri" w:hAnsi="Calibri" w:cs="Calibri"/>
          <w:color w:val="4BACC6"/>
          <w:sz w:val="32"/>
          <w:szCs w:val="32"/>
        </w:rPr>
        <w:tab/>
      </w:r>
      <w:r w:rsidR="007B6A30">
        <w:rPr>
          <w:rFonts w:ascii="Calibri" w:hAnsi="Calibri" w:cs="Calibri"/>
          <w:color w:val="4BACC6"/>
          <w:sz w:val="32"/>
          <w:szCs w:val="32"/>
        </w:rPr>
        <w:tab/>
      </w:r>
      <w:r w:rsidR="000C0951">
        <w:rPr>
          <w:rFonts w:ascii="Calibri" w:hAnsi="Calibri" w:cs="Calibri"/>
          <w:color w:val="4BACC6"/>
          <w:sz w:val="32"/>
          <w:szCs w:val="32"/>
        </w:rPr>
        <w:t>St Mary’s CP School</w:t>
      </w:r>
      <w:r w:rsidRPr="00195D96">
        <w:rPr>
          <w:rFonts w:ascii="Calibri" w:hAnsi="Calibri" w:cs="Calibri"/>
          <w:color w:val="4BACC6"/>
          <w:sz w:val="32"/>
          <w:szCs w:val="32"/>
        </w:rPr>
        <w:t xml:space="preserve">   </w:t>
      </w:r>
      <w:r w:rsidRPr="00195D96">
        <w:rPr>
          <w:rFonts w:ascii="Calibri" w:hAnsi="Calibri" w:cs="Calibri"/>
          <w:color w:val="4BACC6"/>
          <w:sz w:val="32"/>
          <w:szCs w:val="32"/>
        </w:rPr>
        <w:tab/>
      </w:r>
      <w:r w:rsidRPr="00195D96">
        <w:rPr>
          <w:rFonts w:ascii="Calibri" w:hAnsi="Calibri" w:cs="Calibri"/>
          <w:color w:val="4BACC6"/>
          <w:sz w:val="32"/>
          <w:szCs w:val="32"/>
        </w:rPr>
        <w:tab/>
        <w:t xml:space="preserve">Date: </w:t>
      </w:r>
      <w:r w:rsidR="000C0951">
        <w:rPr>
          <w:rFonts w:ascii="Calibri" w:hAnsi="Calibri" w:cs="Calibri"/>
          <w:color w:val="4BACC6"/>
          <w:sz w:val="32"/>
          <w:szCs w:val="32"/>
        </w:rPr>
        <w:t>06/07</w:t>
      </w:r>
      <w:r w:rsidRPr="00195D96">
        <w:rPr>
          <w:rFonts w:ascii="Calibri" w:hAnsi="Calibri" w:cs="Calibri"/>
          <w:color w:val="4BACC6"/>
          <w:sz w:val="32"/>
          <w:szCs w:val="32"/>
        </w:rPr>
        <w:t>/2022</w:t>
      </w:r>
    </w:p>
    <w:p w14:paraId="3DBD5F63" w14:textId="5D2E27E2" w:rsidR="00872C54" w:rsidRPr="00195D96" w:rsidRDefault="00872C54" w:rsidP="00F6187D">
      <w:pPr>
        <w:pStyle w:val="Heading2"/>
        <w:spacing w:before="0" w:after="0"/>
        <w:rPr>
          <w:rFonts w:ascii="Calibri" w:eastAsia="Calibri" w:hAnsi="Calibri" w:cs="Calibri"/>
          <w:sz w:val="32"/>
          <w:szCs w:val="32"/>
        </w:rPr>
      </w:pPr>
      <w:r w:rsidRPr="00195D96">
        <w:rPr>
          <w:rFonts w:ascii="Calibri" w:eastAsia="Calibri" w:hAnsi="Calibri" w:cs="Calibri"/>
          <w:color w:val="0591B4"/>
          <w:sz w:val="32"/>
          <w:szCs w:val="32"/>
        </w:rPr>
        <w:t>Report:</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b w:val="0"/>
          <w:bCs/>
          <w:color w:val="0591B4"/>
          <w:sz w:val="32"/>
          <w:szCs w:val="32"/>
        </w:rPr>
        <w:t>Remote consultation</w:t>
      </w:r>
      <w:r w:rsidRPr="00195D96">
        <w:rPr>
          <w:rFonts w:ascii="Calibri" w:eastAsia="Calibri" w:hAnsi="Calibri" w:cs="Calibri"/>
          <w:sz w:val="32"/>
          <w:szCs w:val="32"/>
        </w:rPr>
        <w:t xml:space="preserve">                  </w:t>
      </w:r>
    </w:p>
    <w:p w14:paraId="04CB2313" w14:textId="439F5814" w:rsidR="00872C54" w:rsidRPr="00195D96" w:rsidRDefault="00872C54" w:rsidP="00F6187D">
      <w:pPr>
        <w:rPr>
          <w:rFonts w:ascii="Calibri" w:eastAsia="Calibri" w:hAnsi="Calibri" w:cs="Calibri"/>
          <w:color w:val="0591B4"/>
          <w:sz w:val="32"/>
          <w:szCs w:val="32"/>
        </w:rPr>
      </w:pPr>
      <w:r w:rsidRPr="00195D96">
        <w:rPr>
          <w:rFonts w:ascii="Calibri" w:eastAsia="Calibri" w:hAnsi="Calibri" w:cs="Calibri"/>
          <w:b/>
          <w:color w:val="0591B4"/>
          <w:sz w:val="32"/>
          <w:szCs w:val="32"/>
        </w:rPr>
        <w:t>DPE:</w:t>
      </w:r>
      <w:r w:rsidRPr="00195D96">
        <w:rPr>
          <w:rFonts w:ascii="Calibri" w:eastAsia="Calibri" w:hAnsi="Calibri" w:cs="Calibri"/>
          <w:color w:val="0591B4"/>
          <w:sz w:val="32"/>
          <w:szCs w:val="32"/>
        </w:rPr>
        <w:t xml:space="preserve">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t xml:space="preserve">Lindsey Smith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p>
    <w:p w14:paraId="25012D30" w14:textId="65AF1775" w:rsidR="00872C54" w:rsidRPr="00195D96" w:rsidRDefault="00872C54" w:rsidP="00F6187D">
      <w:pPr>
        <w:rPr>
          <w:rFonts w:ascii="Calibri" w:eastAsia="Calibri" w:hAnsi="Calibri" w:cs="Calibri"/>
          <w:b/>
          <w:color w:val="0591B4"/>
          <w:sz w:val="32"/>
          <w:szCs w:val="32"/>
        </w:rPr>
      </w:pPr>
      <w:r w:rsidRPr="00195D96">
        <w:rPr>
          <w:rFonts w:ascii="Calibri" w:eastAsia="Calibri" w:hAnsi="Calibri" w:cs="Calibri"/>
          <w:b/>
          <w:color w:val="0591B4"/>
          <w:sz w:val="32"/>
          <w:szCs w:val="32"/>
        </w:rPr>
        <w:t>School member:</w:t>
      </w:r>
      <w:r w:rsidRPr="00195D96">
        <w:rPr>
          <w:rFonts w:ascii="Calibri" w:eastAsia="Calibri" w:hAnsi="Calibri" w:cs="Calibri"/>
          <w:b/>
          <w:color w:val="0591B4"/>
          <w:sz w:val="32"/>
          <w:szCs w:val="32"/>
        </w:rPr>
        <w:tab/>
      </w:r>
      <w:r w:rsidR="000C0951">
        <w:rPr>
          <w:rFonts w:ascii="Calibri" w:eastAsia="Calibri" w:hAnsi="Calibri" w:cs="Calibri"/>
          <w:color w:val="0591B4"/>
          <w:sz w:val="32"/>
          <w:szCs w:val="32"/>
        </w:rPr>
        <w:t>Karin Baker</w:t>
      </w:r>
    </w:p>
    <w:p w14:paraId="68042F93" w14:textId="77777777" w:rsidR="00EA38A9" w:rsidRPr="00195D96" w:rsidRDefault="00EA38A9"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16FEE589"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w:t>
      </w:r>
      <w:r w:rsidR="00E71460">
        <w:rPr>
          <w:rFonts w:ascii="Calibri" w:eastAsia="Calibri" w:hAnsi="Calibri" w:cs="Calibri"/>
          <w:sz w:val="24"/>
          <w:szCs w:val="24"/>
        </w:rPr>
        <w:t xml:space="preserve">training &amp; </w:t>
      </w:r>
      <w:r w:rsidRPr="00195D96">
        <w:rPr>
          <w:rFonts w:ascii="Calibri" w:eastAsia="Calibri" w:hAnsi="Calibri" w:cs="Calibri"/>
          <w:sz w:val="24"/>
          <w:szCs w:val="24"/>
        </w:rPr>
        <w:t>changes - housekeeping</w:t>
      </w:r>
    </w:p>
    <w:p w14:paraId="41258F63" w14:textId="3201D329" w:rsidR="00EA38A9"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0B0EA4B0" w14:textId="0ECCA2D4" w:rsidR="005E0B5C" w:rsidRDefault="005E0B5C"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Retention of Records Management</w:t>
      </w:r>
    </w:p>
    <w:p w14:paraId="3702227C" w14:textId="579794AF" w:rsidR="001219A5" w:rsidRPr="00195D96" w:rsidRDefault="001219A5"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3FF3A5AE" w:rsidR="00EA38A9"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0127D776" w14:textId="0DE292AC" w:rsidR="00571C5E" w:rsidRPr="00195D96" w:rsidRDefault="00571C5E"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Any other queries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7B1CB7AC"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w:t>
      </w:r>
      <w:r w:rsidR="00A90D22">
        <w:rPr>
          <w:rFonts w:ascii="Calibri" w:eastAsia="Calibri" w:hAnsi="Calibri" w:cs="Calibri"/>
          <w:b/>
          <w:color w:val="0591B4"/>
          <w:sz w:val="32"/>
          <w:szCs w:val="32"/>
          <w:highlight w:val="white"/>
        </w:rPr>
        <w:t xml:space="preserve">training &amp; </w:t>
      </w:r>
      <w:r w:rsidRPr="00195D96">
        <w:rPr>
          <w:rFonts w:ascii="Calibri" w:eastAsia="Calibri" w:hAnsi="Calibri" w:cs="Calibri"/>
          <w:b/>
          <w:color w:val="0591B4"/>
          <w:sz w:val="32"/>
          <w:szCs w:val="32"/>
          <w:highlight w:val="white"/>
        </w:rPr>
        <w:t>changes</w:t>
      </w:r>
    </w:p>
    <w:p w14:paraId="1D6DC0D7" w14:textId="7D55113D" w:rsidR="00EA38A9" w:rsidRDefault="005837B4" w:rsidP="00F6187D">
      <w:pPr>
        <w:ind w:left="567"/>
        <w:rPr>
          <w:rFonts w:ascii="Calibri" w:eastAsia="Calibri" w:hAnsi="Calibri" w:cs="Calibri"/>
          <w:sz w:val="24"/>
          <w:szCs w:val="24"/>
        </w:rPr>
      </w:pPr>
      <w:r>
        <w:rPr>
          <w:rFonts w:ascii="Calibri" w:eastAsia="Calibri" w:hAnsi="Calibri" w:cs="Calibri"/>
          <w:sz w:val="24"/>
          <w:szCs w:val="24"/>
        </w:rPr>
        <w:t xml:space="preserve">Adding new members of staff to the Knowledge Bank is part of the induction process, </w:t>
      </w:r>
      <w:r w:rsidR="0071530D">
        <w:rPr>
          <w:rFonts w:ascii="Calibri" w:eastAsia="Calibri" w:hAnsi="Calibri" w:cs="Calibri"/>
          <w:sz w:val="24"/>
          <w:szCs w:val="24"/>
        </w:rPr>
        <w:t>Karin</w:t>
      </w:r>
      <w:r>
        <w:rPr>
          <w:rFonts w:ascii="Calibri" w:eastAsia="Calibri" w:hAnsi="Calibri" w:cs="Calibri"/>
          <w:sz w:val="24"/>
          <w:szCs w:val="24"/>
        </w:rPr>
        <w:t xml:space="preserve"> is confident in adding/removing staff as necessary</w:t>
      </w:r>
      <w:r w:rsidR="00106CE4">
        <w:rPr>
          <w:rFonts w:ascii="Calibri" w:eastAsia="Calibri" w:hAnsi="Calibri" w:cs="Calibri"/>
          <w:sz w:val="24"/>
          <w:szCs w:val="24"/>
        </w:rPr>
        <w:t>.</w:t>
      </w:r>
    </w:p>
    <w:p w14:paraId="1E6A498A" w14:textId="6E93FBE3" w:rsidR="00566839" w:rsidRDefault="00566839" w:rsidP="00F6187D">
      <w:pPr>
        <w:ind w:left="567"/>
        <w:rPr>
          <w:rFonts w:ascii="Calibri" w:eastAsia="Calibri" w:hAnsi="Calibri" w:cs="Calibri"/>
          <w:sz w:val="24"/>
          <w:szCs w:val="24"/>
        </w:rPr>
      </w:pPr>
    </w:p>
    <w:p w14:paraId="20CC4489" w14:textId="77777777" w:rsidR="0071530D" w:rsidRDefault="0071530D" w:rsidP="0071530D">
      <w:pPr>
        <w:shd w:val="clear" w:color="auto" w:fill="FFFFFF"/>
        <w:ind w:left="567"/>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 xml:space="preserve">The GDPR 101 has been split into two modules, now named: An Introduction to GDPR &amp; How to Avoid a Data Breach. </w:t>
      </w:r>
      <w:r>
        <w:rPr>
          <w:rFonts w:ascii="Calibri" w:eastAsia="Calibri" w:hAnsi="Calibri" w:cs="Calibri"/>
          <w:color w:val="222222"/>
          <w:sz w:val="24"/>
          <w:szCs w:val="24"/>
        </w:rPr>
        <w:t xml:space="preserve">These are recommended in addition to Stay Safe Online NCSC for all staff.  Learning Nuggets for particular topics are also available for key staff: </w:t>
      </w:r>
      <w:hyperlink r:id="rId8" w:history="1">
        <w:r>
          <w:rPr>
            <w:rStyle w:val="Hyperlink"/>
          </w:rPr>
          <w:t>My Courses (dataprotection.education)</w:t>
        </w:r>
      </w:hyperlink>
    </w:p>
    <w:p w14:paraId="1A982119" w14:textId="43220430" w:rsidR="00566839" w:rsidRDefault="00566839" w:rsidP="00F6187D">
      <w:pPr>
        <w:shd w:val="clear" w:color="auto" w:fill="FFFFFF"/>
        <w:ind w:left="567"/>
        <w:rPr>
          <w:rFonts w:ascii="Calibri" w:eastAsia="Calibri" w:hAnsi="Calibri" w:cs="Calibri"/>
          <w:b/>
          <w:color w:val="222222"/>
          <w:sz w:val="24"/>
          <w:szCs w:val="24"/>
          <w:highlight w:val="white"/>
        </w:rPr>
      </w:pPr>
    </w:p>
    <w:p w14:paraId="0B078C18" w14:textId="7568D95B" w:rsidR="0071530D" w:rsidRPr="0071530D" w:rsidRDefault="0071530D" w:rsidP="00F6187D">
      <w:pPr>
        <w:shd w:val="clear" w:color="auto" w:fill="FFFFFF"/>
        <w:ind w:left="567"/>
        <w:rPr>
          <w:rFonts w:ascii="Calibri" w:eastAsia="Calibri" w:hAnsi="Calibri" w:cs="Calibri"/>
          <w:bCs/>
          <w:color w:val="222222"/>
          <w:sz w:val="24"/>
          <w:szCs w:val="24"/>
          <w:highlight w:val="white"/>
        </w:rPr>
      </w:pPr>
      <w:r w:rsidRPr="0071530D">
        <w:rPr>
          <w:rFonts w:ascii="Calibri" w:eastAsia="Calibri" w:hAnsi="Calibri" w:cs="Calibri"/>
          <w:bCs/>
          <w:color w:val="222222"/>
          <w:sz w:val="24"/>
          <w:szCs w:val="24"/>
          <w:highlight w:val="white"/>
        </w:rPr>
        <w:t xml:space="preserve">Overall good </w:t>
      </w:r>
      <w:r>
        <w:rPr>
          <w:rFonts w:ascii="Calibri" w:eastAsia="Calibri" w:hAnsi="Calibri" w:cs="Calibri"/>
          <w:bCs/>
          <w:color w:val="222222"/>
          <w:sz w:val="24"/>
          <w:szCs w:val="24"/>
          <w:highlight w:val="white"/>
        </w:rPr>
        <w:t>eLearning</w:t>
      </w:r>
      <w:r w:rsidRPr="0071530D">
        <w:rPr>
          <w:rFonts w:ascii="Calibri" w:eastAsia="Calibri" w:hAnsi="Calibri" w:cs="Calibri"/>
          <w:bCs/>
          <w:color w:val="222222"/>
          <w:sz w:val="24"/>
          <w:szCs w:val="24"/>
          <w:highlight w:val="white"/>
        </w:rPr>
        <w:t xml:space="preserve"> uptake from staff</w:t>
      </w:r>
      <w:r>
        <w:rPr>
          <w:rFonts w:ascii="Calibri" w:eastAsia="Calibri" w:hAnsi="Calibri" w:cs="Calibri"/>
          <w:bCs/>
          <w:color w:val="222222"/>
          <w:sz w:val="24"/>
          <w:szCs w:val="24"/>
          <w:highlight w:val="white"/>
        </w:rPr>
        <w:t xml:space="preserve"> over a variety of courses available on the Knowledge Bank.</w:t>
      </w:r>
    </w:p>
    <w:p w14:paraId="09B0A1ED" w14:textId="77777777" w:rsidR="0071530D" w:rsidRPr="00195D96" w:rsidRDefault="0071530D" w:rsidP="00F6187D">
      <w:pPr>
        <w:shd w:val="clear" w:color="auto" w:fill="FFFFFF"/>
        <w:ind w:left="567"/>
        <w:rPr>
          <w:rFonts w:ascii="Calibri" w:eastAsia="Calibri" w:hAnsi="Calibri" w:cs="Calibri"/>
          <w:b/>
          <w:color w:val="222222"/>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765B4CF4"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Although the documents below are not all statutory to have on your website, for transparency and ease of managing these documents, it is good practice to have a GDPR section on your website</w:t>
      </w:r>
      <w:r w:rsidR="001219A5">
        <w:rPr>
          <w:rFonts w:ascii="Calibri" w:eastAsia="Calibri" w:hAnsi="Calibri" w:cs="Calibri"/>
          <w:sz w:val="24"/>
          <w:szCs w:val="24"/>
        </w:rPr>
        <w:t>.</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5F5D46">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7AFF7622" w:rsidR="00EA38A9" w:rsidRPr="00195D96" w:rsidRDefault="00194150" w:rsidP="005F5D46">
      <w:pPr>
        <w:numPr>
          <w:ilvl w:val="0"/>
          <w:numId w:val="6"/>
        </w:numPr>
        <w:ind w:left="1134" w:hanging="567"/>
        <w:rPr>
          <w:rFonts w:ascii="Calibri" w:eastAsia="Calibri" w:hAnsi="Calibri" w:cs="Calibri"/>
          <w:sz w:val="24"/>
          <w:szCs w:val="24"/>
        </w:rPr>
      </w:pPr>
      <w:r>
        <w:rPr>
          <w:rFonts w:ascii="Calibri" w:eastAsia="Calibri" w:hAnsi="Calibri" w:cs="Calibri"/>
          <w:sz w:val="24"/>
          <w:szCs w:val="24"/>
        </w:rPr>
        <w:t>DP</w:t>
      </w:r>
      <w:r w:rsidR="00913FAF" w:rsidRPr="00195D96">
        <w:rPr>
          <w:rFonts w:ascii="Calibri" w:eastAsia="Calibri" w:hAnsi="Calibri" w:cs="Calibri"/>
          <w:sz w:val="24"/>
          <w:szCs w:val="24"/>
        </w:rPr>
        <w:t xml:space="preserve"> policy</w:t>
      </w:r>
      <w:r>
        <w:rPr>
          <w:rFonts w:ascii="Calibri" w:eastAsia="Calibri" w:hAnsi="Calibri" w:cs="Calibri"/>
          <w:sz w:val="24"/>
          <w:szCs w:val="24"/>
        </w:rPr>
        <w:t xml:space="preserve"> – </w:t>
      </w:r>
      <w:r w:rsidR="005E0B5C">
        <w:rPr>
          <w:rFonts w:ascii="Calibri" w:eastAsia="Calibri" w:hAnsi="Calibri" w:cs="Calibri"/>
          <w:sz w:val="24"/>
          <w:szCs w:val="24"/>
        </w:rPr>
        <w:t>due for review in September 2023 (there’s an updated version available on the Knowledge Bank for when the review time comes)</w:t>
      </w:r>
      <w:r w:rsidR="00571C5E">
        <w:rPr>
          <w:rFonts w:ascii="Calibri" w:eastAsia="Calibri" w:hAnsi="Calibri" w:cs="Calibri"/>
          <w:sz w:val="24"/>
          <w:szCs w:val="24"/>
        </w:rPr>
        <w:t xml:space="preserve"> </w:t>
      </w:r>
      <w:hyperlink r:id="rId9" w:history="1">
        <w:r w:rsidR="00571C5E">
          <w:rPr>
            <w:rStyle w:val="Hyperlink"/>
          </w:rPr>
          <w:t>Commitment to compliance (dataprotection.education)</w:t>
        </w:r>
      </w:hyperlink>
    </w:p>
    <w:p w14:paraId="337C2D05" w14:textId="77777777" w:rsidR="00571C5E" w:rsidRDefault="00913FAF" w:rsidP="00571C5E">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notice(s)</w:t>
      </w:r>
      <w:r w:rsidR="00194150">
        <w:rPr>
          <w:rFonts w:ascii="Calibri" w:eastAsia="Calibri" w:hAnsi="Calibri" w:cs="Calibri"/>
          <w:sz w:val="24"/>
          <w:szCs w:val="24"/>
        </w:rPr>
        <w:t xml:space="preserve"> </w:t>
      </w:r>
      <w:r w:rsidR="005E0B5C">
        <w:rPr>
          <w:rFonts w:ascii="Calibri" w:eastAsia="Calibri" w:hAnsi="Calibri" w:cs="Calibri"/>
          <w:sz w:val="24"/>
          <w:szCs w:val="24"/>
        </w:rPr>
        <w:t>– none found on the website.</w:t>
      </w:r>
      <w:r w:rsidR="00F27C3B">
        <w:rPr>
          <w:rFonts w:ascii="Calibri" w:eastAsia="Calibri" w:hAnsi="Calibri" w:cs="Calibri"/>
          <w:sz w:val="24"/>
          <w:szCs w:val="24"/>
        </w:rPr>
        <w:t xml:space="preserve"> Up to date Privacy Notices are available to adopt here: </w:t>
      </w:r>
      <w:hyperlink r:id="rId10" w:history="1">
        <w:r w:rsidR="00F27C3B">
          <w:rPr>
            <w:rStyle w:val="Hyperlink"/>
          </w:rPr>
          <w:t>Transparency (dataprotection.education)</w:t>
        </w:r>
      </w:hyperlink>
    </w:p>
    <w:p w14:paraId="0897A272" w14:textId="3DB713B7" w:rsidR="005E0B5C" w:rsidRPr="00571C5E" w:rsidRDefault="00913FAF" w:rsidP="00571C5E">
      <w:pPr>
        <w:numPr>
          <w:ilvl w:val="0"/>
          <w:numId w:val="6"/>
        </w:numPr>
        <w:ind w:left="1134" w:hanging="567"/>
        <w:rPr>
          <w:rFonts w:eastAsia="Calibri"/>
        </w:rPr>
      </w:pPr>
      <w:r w:rsidRPr="00571C5E">
        <w:rPr>
          <w:rFonts w:ascii="Calibri" w:eastAsia="Calibri" w:hAnsi="Calibri" w:cs="Calibri"/>
          <w:sz w:val="24"/>
          <w:szCs w:val="24"/>
        </w:rPr>
        <w:t>FOI and publication scheme</w:t>
      </w:r>
      <w:r w:rsidR="00893BFD" w:rsidRPr="00571C5E">
        <w:rPr>
          <w:rFonts w:ascii="Calibri" w:eastAsia="Calibri" w:hAnsi="Calibri" w:cs="Calibri"/>
          <w:sz w:val="24"/>
          <w:szCs w:val="24"/>
        </w:rPr>
        <w:t xml:space="preserve"> </w:t>
      </w:r>
      <w:r w:rsidR="00893BFD" w:rsidRPr="00571C5E">
        <w:rPr>
          <w:rFonts w:ascii="Calibri" w:eastAsia="Calibri" w:hAnsi="Calibri" w:cs="Calibri"/>
          <w:bCs/>
          <w:sz w:val="24"/>
          <w:szCs w:val="24"/>
        </w:rPr>
        <w:t>Publication scheme</w:t>
      </w:r>
      <w:r w:rsidR="00B20A1A" w:rsidRPr="00571C5E">
        <w:rPr>
          <w:rFonts w:ascii="Calibri" w:eastAsia="Calibri" w:hAnsi="Calibri" w:cs="Calibri"/>
          <w:bCs/>
          <w:sz w:val="24"/>
          <w:szCs w:val="24"/>
        </w:rPr>
        <w:t xml:space="preserve"> –</w:t>
      </w:r>
      <w:r w:rsidR="00775FA6" w:rsidRPr="00571C5E">
        <w:rPr>
          <w:rFonts w:ascii="Calibri" w:eastAsia="Calibri" w:hAnsi="Calibri" w:cs="Calibri"/>
          <w:bCs/>
          <w:sz w:val="24"/>
          <w:szCs w:val="24"/>
        </w:rPr>
        <w:t xml:space="preserve"> R</w:t>
      </w:r>
      <w:r w:rsidR="00B20A1A" w:rsidRPr="00571C5E">
        <w:rPr>
          <w:rFonts w:ascii="Calibri" w:eastAsia="Calibri" w:hAnsi="Calibri" w:cs="Calibri"/>
          <w:bCs/>
          <w:sz w:val="24"/>
          <w:szCs w:val="24"/>
        </w:rPr>
        <w:t>esources are available here</w:t>
      </w:r>
      <w:r w:rsidR="00893BFD" w:rsidRPr="00571C5E">
        <w:rPr>
          <w:rFonts w:ascii="Calibri" w:eastAsia="Calibri" w:hAnsi="Calibri" w:cs="Calibri"/>
          <w:bCs/>
          <w:sz w:val="24"/>
          <w:szCs w:val="24"/>
        </w:rPr>
        <w:t xml:space="preserve">: </w:t>
      </w:r>
      <w:hyperlink r:id="rId11" w:history="1">
        <w:r w:rsidR="005E0B5C" w:rsidRPr="00571C5E">
          <w:rPr>
            <w:rStyle w:val="Hyperlink"/>
            <w:rFonts w:eastAsia="Calibri"/>
          </w:rPr>
          <w:t>https://dataprotection.education/news-top/news/83-best-practice-updates/182-model-publication-scheme-amendments-improvements-and-updates</w:t>
        </w:r>
      </w:hyperlink>
    </w:p>
    <w:p w14:paraId="55E9FEFC" w14:textId="69ABAE95" w:rsidR="005E0B5C" w:rsidRPr="00571C5E" w:rsidRDefault="006173AC" w:rsidP="005E0B5C">
      <w:pPr>
        <w:ind w:left="1134"/>
        <w:rPr>
          <w:rFonts w:eastAsia="Calibri"/>
          <w:b/>
        </w:rPr>
      </w:pPr>
      <w:hyperlink r:id="rId12">
        <w:r w:rsidR="005E0B5C" w:rsidRPr="00571C5E">
          <w:rPr>
            <w:rFonts w:eastAsia="Calibri"/>
            <w:color w:val="1155CC"/>
            <w:u w:val="single"/>
          </w:rPr>
          <w:t>https://kb.dataprotection.education/index.php/best-practice-library/best-practice/freedom-of-information</w:t>
        </w:r>
      </w:hyperlink>
    </w:p>
    <w:p w14:paraId="542A114E" w14:textId="6C78274F" w:rsidR="005E0B5C" w:rsidRPr="005E0B5C" w:rsidRDefault="005E0B5C" w:rsidP="005E0B5C">
      <w:pPr>
        <w:numPr>
          <w:ilvl w:val="0"/>
          <w:numId w:val="9"/>
        </w:numPr>
        <w:ind w:left="1134" w:hanging="567"/>
        <w:rPr>
          <w:rFonts w:ascii="Calibri" w:eastAsia="Calibri" w:hAnsi="Calibri" w:cs="Calibri"/>
          <w:b/>
          <w:sz w:val="24"/>
          <w:szCs w:val="24"/>
        </w:rPr>
      </w:pPr>
      <w:r w:rsidRPr="005E0B5C">
        <w:rPr>
          <w:rFonts w:ascii="Calibri" w:eastAsia="Calibri" w:hAnsi="Calibri" w:cs="Calibri"/>
          <w:sz w:val="24"/>
          <w:szCs w:val="24"/>
        </w:rPr>
        <w:t xml:space="preserve">Is there a Work out of School Policy implemented?  Are staff aware of how to work away from school safely and securely? </w:t>
      </w:r>
      <w:hyperlink r:id="rId13" w:history="1">
        <w:r>
          <w:rPr>
            <w:rStyle w:val="Hyperlink"/>
          </w:rPr>
          <w:t>Commitment to compliance (dataprotection.education)</w:t>
        </w:r>
      </w:hyperlink>
    </w:p>
    <w:p w14:paraId="300743FD" w14:textId="21C81C53" w:rsidR="005916DC" w:rsidRDefault="005916DC" w:rsidP="005916DC">
      <w:pPr>
        <w:ind w:left="567"/>
        <w:rPr>
          <w:rFonts w:ascii="Calibri" w:eastAsia="Calibri" w:hAnsi="Calibri" w:cs="Calibri"/>
          <w:sz w:val="24"/>
          <w:szCs w:val="24"/>
        </w:rPr>
      </w:pPr>
    </w:p>
    <w:p w14:paraId="1807DB13" w14:textId="77777777" w:rsidR="00113374" w:rsidRPr="00195D96" w:rsidRDefault="00113374" w:rsidP="005F5D46">
      <w:pPr>
        <w:ind w:left="567"/>
        <w:rPr>
          <w:rFonts w:ascii="Calibri" w:eastAsia="Calibri" w:hAnsi="Calibri" w:cs="Calibri"/>
          <w:sz w:val="24"/>
          <w:szCs w:val="24"/>
        </w:rPr>
      </w:pPr>
    </w:p>
    <w:p w14:paraId="3F988703" w14:textId="7EA27861" w:rsidR="005E0B5C" w:rsidRDefault="005E0B5C" w:rsidP="005F5D46">
      <w:pPr>
        <w:numPr>
          <w:ilvl w:val="0"/>
          <w:numId w:val="5"/>
        </w:numPr>
        <w:shd w:val="clear" w:color="auto" w:fill="FFFFFF"/>
        <w:ind w:left="567" w:hanging="567"/>
        <w:rPr>
          <w:rFonts w:ascii="Calibri" w:eastAsia="Calibri" w:hAnsi="Calibri" w:cs="Calibri"/>
          <w:b/>
          <w:bCs/>
          <w:color w:val="0591B4"/>
          <w:sz w:val="32"/>
          <w:szCs w:val="32"/>
        </w:rPr>
      </w:pPr>
      <w:r>
        <w:rPr>
          <w:rFonts w:ascii="Calibri" w:eastAsia="Calibri" w:hAnsi="Calibri" w:cs="Calibri"/>
          <w:b/>
          <w:bCs/>
          <w:color w:val="0591B4"/>
          <w:sz w:val="32"/>
          <w:szCs w:val="32"/>
        </w:rPr>
        <w:t>Retention of Records Management</w:t>
      </w:r>
    </w:p>
    <w:p w14:paraId="2D95EE40" w14:textId="1C7B2EB0" w:rsidR="005E0B5C" w:rsidRPr="005E0B5C" w:rsidRDefault="005E0B5C" w:rsidP="005E0B5C">
      <w:pPr>
        <w:ind w:left="567"/>
        <w:rPr>
          <w:rFonts w:ascii="Calibri" w:eastAsia="Calibri" w:hAnsi="Calibri" w:cs="Calibri"/>
          <w:sz w:val="24"/>
          <w:szCs w:val="24"/>
        </w:rPr>
      </w:pPr>
      <w:r w:rsidRPr="005E0B5C">
        <w:rPr>
          <w:rFonts w:ascii="Calibri" w:eastAsia="Calibri" w:hAnsi="Calibri" w:cs="Calibri"/>
          <w:sz w:val="24"/>
          <w:szCs w:val="24"/>
        </w:rPr>
        <w:t xml:space="preserve">Is there a Retention of Records Management Policy? Are staff aware of the policy and how to refer to it when securely destroying data? </w:t>
      </w:r>
      <w:r>
        <w:rPr>
          <w:rFonts w:ascii="Calibri" w:eastAsia="Calibri" w:hAnsi="Calibri" w:cs="Calibri"/>
          <w:sz w:val="24"/>
          <w:szCs w:val="24"/>
          <w:highlight w:val="white"/>
        </w:rPr>
        <w:t xml:space="preserve">There are resources available here if required: </w:t>
      </w:r>
      <w:hyperlink r:id="rId14" w:history="1">
        <w:r>
          <w:rPr>
            <w:rStyle w:val="Hyperlink"/>
            <w:rFonts w:ascii="Calibri" w:hAnsi="Calibri" w:cs="Calibri"/>
            <w:sz w:val="24"/>
            <w:szCs w:val="24"/>
          </w:rPr>
          <w:t>Records Management (dataprotection.education)</w:t>
        </w:r>
      </w:hyperlink>
      <w:r>
        <w:rPr>
          <w:rFonts w:ascii="Calibri" w:hAnsi="Calibri" w:cs="Calibri"/>
          <w:sz w:val="24"/>
          <w:szCs w:val="24"/>
        </w:rPr>
        <w:t>.</w:t>
      </w:r>
      <w:r>
        <w:rPr>
          <w:rFonts w:ascii="Calibri" w:eastAsia="Calibri" w:hAnsi="Calibri" w:cs="Calibri"/>
          <w:sz w:val="24"/>
          <w:szCs w:val="24"/>
          <w:highlight w:val="white"/>
        </w:rPr>
        <w:t xml:space="preserve"> </w:t>
      </w:r>
    </w:p>
    <w:p w14:paraId="2850C0C2" w14:textId="77777777" w:rsidR="005E0B5C" w:rsidRDefault="005E0B5C" w:rsidP="005E0B5C">
      <w:pPr>
        <w:widowControl w:val="0"/>
        <w:ind w:left="567"/>
        <w:rPr>
          <w:rFonts w:ascii="Calibri" w:eastAsia="Calibri" w:hAnsi="Calibri" w:cs="Calibri"/>
          <w:sz w:val="24"/>
          <w:szCs w:val="24"/>
          <w:highlight w:val="white"/>
        </w:rPr>
      </w:pPr>
    </w:p>
    <w:p w14:paraId="6BE1CA77" w14:textId="74CAEF71" w:rsidR="005E0B5C" w:rsidRDefault="005E0B5C" w:rsidP="005E0B5C">
      <w:pPr>
        <w:widowControl w:val="0"/>
        <w:ind w:left="567"/>
        <w:rPr>
          <w:rFonts w:ascii="Calibri" w:eastAsia="Calibri" w:hAnsi="Calibri" w:cs="Calibri"/>
          <w:sz w:val="24"/>
          <w:szCs w:val="24"/>
          <w:highlight w:val="white"/>
        </w:rPr>
      </w:pPr>
      <w:r>
        <w:rPr>
          <w:rFonts w:ascii="Calibri" w:eastAsia="Calibri" w:hAnsi="Calibri" w:cs="Calibri"/>
          <w:sz w:val="24"/>
          <w:szCs w:val="24"/>
          <w:highlight w:val="white"/>
        </w:rPr>
        <w:t xml:space="preserve">There are </w:t>
      </w:r>
      <w:r>
        <w:rPr>
          <w:rFonts w:ascii="Calibri" w:eastAsia="Calibri" w:hAnsi="Calibri" w:cs="Calibri"/>
          <w:b/>
          <w:sz w:val="24"/>
          <w:szCs w:val="24"/>
          <w:highlight w:val="white"/>
        </w:rPr>
        <w:t>two key factors:</w:t>
      </w:r>
      <w:r>
        <w:rPr>
          <w:rFonts w:ascii="Calibri" w:eastAsia="Calibri" w:hAnsi="Calibri" w:cs="Calibri"/>
          <w:sz w:val="24"/>
          <w:szCs w:val="24"/>
          <w:highlight w:val="white"/>
        </w:rPr>
        <w:t xml:space="preserve"> the</w:t>
      </w:r>
      <w:r>
        <w:rPr>
          <w:rFonts w:ascii="Calibri" w:eastAsia="Calibri" w:hAnsi="Calibri" w:cs="Calibri"/>
          <w:b/>
          <w:sz w:val="24"/>
          <w:szCs w:val="24"/>
          <w:highlight w:val="white"/>
        </w:rPr>
        <w:t xml:space="preserve"> purpose </w:t>
      </w:r>
      <w:r>
        <w:rPr>
          <w:rFonts w:ascii="Calibri" w:eastAsia="Calibri" w:hAnsi="Calibri" w:cs="Calibri"/>
          <w:sz w:val="24"/>
          <w:szCs w:val="24"/>
          <w:highlight w:val="white"/>
        </w:rPr>
        <w:t xml:space="preserve">for processing the data, and any </w:t>
      </w:r>
      <w:r>
        <w:rPr>
          <w:rFonts w:ascii="Calibri" w:eastAsia="Calibri" w:hAnsi="Calibri" w:cs="Calibri"/>
          <w:b/>
          <w:sz w:val="24"/>
          <w:szCs w:val="24"/>
          <w:highlight w:val="white"/>
        </w:rPr>
        <w:t xml:space="preserve">legal or regulatory requirements </w:t>
      </w:r>
      <w:r>
        <w:rPr>
          <w:rFonts w:ascii="Calibri" w:eastAsia="Calibri" w:hAnsi="Calibri" w:cs="Calibri"/>
          <w:sz w:val="24"/>
          <w:szCs w:val="24"/>
          <w:highlight w:val="white"/>
        </w:rPr>
        <w:t xml:space="preserve">for </w:t>
      </w:r>
      <w:r>
        <w:rPr>
          <w:rFonts w:ascii="Calibri" w:eastAsia="Calibri" w:hAnsi="Calibri" w:cs="Calibri"/>
          <w:b/>
          <w:sz w:val="24"/>
          <w:szCs w:val="24"/>
          <w:highlight w:val="white"/>
        </w:rPr>
        <w:t xml:space="preserve">retaining it. </w:t>
      </w:r>
      <w:r>
        <w:rPr>
          <w:rFonts w:ascii="Calibri" w:eastAsia="Calibri" w:hAnsi="Calibri" w:cs="Calibri"/>
          <w:sz w:val="24"/>
          <w:szCs w:val="24"/>
          <w:highlight w:val="white"/>
        </w:rPr>
        <w:t xml:space="preserve">One of your purposes will need to apply for you to continue to store the data. Data should not be held for longer than is needed. You shouldn’t just keep data just in case you may need it in the future. </w:t>
      </w:r>
    </w:p>
    <w:p w14:paraId="5021206E" w14:textId="77777777" w:rsidR="005E0B5C" w:rsidRDefault="005E0B5C" w:rsidP="005E0B5C">
      <w:pPr>
        <w:widowControl w:val="0"/>
        <w:ind w:left="567"/>
        <w:rPr>
          <w:rFonts w:ascii="Calibri" w:eastAsia="Calibri" w:hAnsi="Calibri" w:cs="Calibri"/>
          <w:b/>
          <w:sz w:val="24"/>
          <w:szCs w:val="24"/>
          <w:highlight w:val="white"/>
        </w:rPr>
      </w:pPr>
    </w:p>
    <w:p w14:paraId="21E5F6B4" w14:textId="77777777" w:rsidR="005E0B5C" w:rsidRDefault="005E0B5C" w:rsidP="005E0B5C">
      <w:pPr>
        <w:shd w:val="clear" w:color="auto" w:fill="FFFFFF"/>
        <w:ind w:left="567"/>
        <w:rPr>
          <w:rFonts w:ascii="Calibri" w:eastAsia="Calibri" w:hAnsi="Calibri" w:cs="Calibri"/>
          <w:b/>
          <w:color w:val="222222"/>
          <w:sz w:val="24"/>
          <w:szCs w:val="24"/>
        </w:rPr>
      </w:pPr>
      <w:r>
        <w:rPr>
          <w:rFonts w:ascii="Calibri" w:eastAsia="Calibri" w:hAnsi="Calibri" w:cs="Calibri"/>
          <w:b/>
          <w:color w:val="222222"/>
          <w:sz w:val="24"/>
          <w:szCs w:val="24"/>
        </w:rPr>
        <w:t xml:space="preserve">Different data systems to consider when reviewing data retention: </w:t>
      </w:r>
    </w:p>
    <w:p w14:paraId="0E360999" w14:textId="77777777" w:rsidR="005E0B5C" w:rsidRDefault="005E0B5C" w:rsidP="005E0B5C">
      <w:pPr>
        <w:numPr>
          <w:ilvl w:val="0"/>
          <w:numId w:val="11"/>
        </w:numPr>
        <w:shd w:val="clear" w:color="auto" w:fill="FFFFFF"/>
        <w:ind w:left="1134" w:hanging="567"/>
        <w:rPr>
          <w:rFonts w:ascii="Calibri" w:eastAsia="Calibri" w:hAnsi="Calibri" w:cs="Calibri"/>
          <w:color w:val="222222"/>
          <w:sz w:val="24"/>
          <w:szCs w:val="24"/>
        </w:rPr>
      </w:pPr>
      <w:r>
        <w:rPr>
          <w:rFonts w:ascii="Calibri" w:eastAsia="Calibri" w:hAnsi="Calibri" w:cs="Calibri"/>
          <w:color w:val="222222"/>
          <w:sz w:val="24"/>
          <w:szCs w:val="24"/>
        </w:rPr>
        <w:t>Emails</w:t>
      </w:r>
    </w:p>
    <w:p w14:paraId="4A1ADA85" w14:textId="77777777" w:rsidR="005E0B5C" w:rsidRDefault="005E0B5C" w:rsidP="005E0B5C">
      <w:pPr>
        <w:numPr>
          <w:ilvl w:val="0"/>
          <w:numId w:val="11"/>
        </w:numPr>
        <w:shd w:val="clear" w:color="auto" w:fill="FFFFFF"/>
        <w:ind w:left="1134" w:hanging="567"/>
        <w:rPr>
          <w:rFonts w:ascii="Calibri" w:eastAsia="Calibri" w:hAnsi="Calibri" w:cs="Calibri"/>
          <w:color w:val="222222"/>
          <w:sz w:val="24"/>
          <w:szCs w:val="24"/>
        </w:rPr>
      </w:pPr>
      <w:r>
        <w:rPr>
          <w:rFonts w:ascii="Calibri" w:eastAsia="Calibri" w:hAnsi="Calibri" w:cs="Calibri"/>
          <w:color w:val="222222"/>
          <w:sz w:val="24"/>
          <w:szCs w:val="24"/>
        </w:rPr>
        <w:t>MIS</w:t>
      </w:r>
    </w:p>
    <w:p w14:paraId="033DF30B" w14:textId="77777777" w:rsidR="005E0B5C" w:rsidRDefault="005E0B5C" w:rsidP="005E0B5C">
      <w:pPr>
        <w:numPr>
          <w:ilvl w:val="0"/>
          <w:numId w:val="11"/>
        </w:numPr>
        <w:shd w:val="clear" w:color="auto" w:fill="FFFFFF"/>
        <w:ind w:left="1134" w:hanging="567"/>
        <w:rPr>
          <w:rFonts w:ascii="Calibri" w:eastAsia="Calibri" w:hAnsi="Calibri" w:cs="Calibri"/>
          <w:color w:val="222222"/>
          <w:sz w:val="24"/>
          <w:szCs w:val="24"/>
        </w:rPr>
      </w:pPr>
      <w:r>
        <w:rPr>
          <w:rFonts w:ascii="Calibri" w:eastAsia="Calibri" w:hAnsi="Calibri" w:cs="Calibri"/>
          <w:color w:val="222222"/>
          <w:sz w:val="24"/>
          <w:szCs w:val="24"/>
        </w:rPr>
        <w:t>Website</w:t>
      </w:r>
    </w:p>
    <w:p w14:paraId="7AA18E7C" w14:textId="77777777" w:rsidR="005E0B5C" w:rsidRDefault="005E0B5C" w:rsidP="005E0B5C">
      <w:pPr>
        <w:numPr>
          <w:ilvl w:val="0"/>
          <w:numId w:val="11"/>
        </w:numPr>
        <w:shd w:val="clear" w:color="auto" w:fill="FFFFFF"/>
        <w:ind w:left="1134" w:hanging="567"/>
        <w:rPr>
          <w:rFonts w:ascii="Calibri" w:eastAsia="Calibri" w:hAnsi="Calibri" w:cs="Calibri"/>
          <w:color w:val="222222"/>
          <w:sz w:val="24"/>
          <w:szCs w:val="24"/>
        </w:rPr>
      </w:pPr>
      <w:r>
        <w:rPr>
          <w:rFonts w:ascii="Calibri" w:eastAsia="Calibri" w:hAnsi="Calibri" w:cs="Calibri"/>
          <w:color w:val="222222"/>
          <w:sz w:val="24"/>
          <w:szCs w:val="24"/>
        </w:rPr>
        <w:t>Network/CLOUD</w:t>
      </w:r>
    </w:p>
    <w:p w14:paraId="22E432AC" w14:textId="77777777" w:rsidR="005E0B5C" w:rsidRDefault="005E0B5C" w:rsidP="005E0B5C">
      <w:pPr>
        <w:shd w:val="clear" w:color="auto" w:fill="FFFFFF"/>
        <w:rPr>
          <w:rFonts w:ascii="Calibri" w:eastAsia="Calibri" w:hAnsi="Calibri" w:cs="Calibri"/>
          <w:color w:val="222222"/>
          <w:sz w:val="24"/>
          <w:szCs w:val="24"/>
        </w:rPr>
      </w:pPr>
    </w:p>
    <w:p w14:paraId="2778B233" w14:textId="77777777" w:rsidR="005E0B5C" w:rsidRDefault="005E0B5C" w:rsidP="005E0B5C">
      <w:pPr>
        <w:shd w:val="clear" w:color="auto" w:fill="FFFFFF"/>
        <w:ind w:left="567"/>
        <w:rPr>
          <w:rFonts w:ascii="Calibri" w:eastAsia="Calibri" w:hAnsi="Calibri" w:cs="Calibri"/>
          <w:b/>
          <w:color w:val="222222"/>
          <w:sz w:val="24"/>
          <w:szCs w:val="24"/>
        </w:rPr>
      </w:pPr>
      <w:r>
        <w:rPr>
          <w:rFonts w:ascii="Calibri" w:eastAsia="Calibri" w:hAnsi="Calibri" w:cs="Calibri"/>
          <w:b/>
          <w:color w:val="222222"/>
          <w:sz w:val="24"/>
          <w:szCs w:val="24"/>
        </w:rPr>
        <w:t>Tools to support you:</w:t>
      </w:r>
    </w:p>
    <w:p w14:paraId="5C590D77" w14:textId="77777777" w:rsidR="005E0B5C" w:rsidRDefault="005E0B5C" w:rsidP="005E0B5C">
      <w:pPr>
        <w:shd w:val="clear" w:color="auto" w:fill="FFFFFF"/>
        <w:ind w:left="1134" w:hanging="567"/>
        <w:rPr>
          <w:rFonts w:ascii="Calibri" w:eastAsia="Calibri" w:hAnsi="Calibri" w:cs="Calibri"/>
          <w:color w:val="222222"/>
          <w:sz w:val="24"/>
          <w:szCs w:val="24"/>
        </w:rPr>
      </w:pPr>
    </w:p>
    <w:p w14:paraId="5F667E3F" w14:textId="77777777" w:rsidR="005E0B5C" w:rsidRDefault="006173AC" w:rsidP="005E0B5C">
      <w:pPr>
        <w:widowControl w:val="0"/>
        <w:numPr>
          <w:ilvl w:val="0"/>
          <w:numId w:val="12"/>
        </w:numPr>
        <w:spacing w:line="276" w:lineRule="auto"/>
        <w:ind w:left="1134" w:hanging="567"/>
        <w:rPr>
          <w:rFonts w:ascii="Calibri" w:eastAsia="Calibri" w:hAnsi="Calibri" w:cs="Calibri"/>
          <w:sz w:val="24"/>
          <w:szCs w:val="24"/>
        </w:rPr>
      </w:pPr>
      <w:hyperlink r:id="rId15" w:anchor=":~:text=Every%20entry%20in%20the%20admission,which%20the%20entry%20was%20made.&amp;text=Schools%20may%20wish%20to%20consider,dates%20they%20attended%20the%20school." w:history="1">
        <w:r w:rsidR="005E0B5C">
          <w:rPr>
            <w:rStyle w:val="Hyperlink"/>
            <w:rFonts w:ascii="Calibri" w:eastAsia="Calibri" w:hAnsi="Calibri" w:cs="Calibri"/>
            <w:color w:val="0563C1"/>
            <w:sz w:val="24"/>
            <w:szCs w:val="24"/>
          </w:rPr>
          <w:t>DfE</w:t>
        </w:r>
      </w:hyperlink>
      <w:r w:rsidR="005E0B5C">
        <w:rPr>
          <w:rFonts w:ascii="Calibri" w:eastAsia="Calibri" w:hAnsi="Calibri" w:cs="Calibri"/>
          <w:sz w:val="24"/>
          <w:szCs w:val="24"/>
        </w:rPr>
        <w:t xml:space="preserve"> Annual review of school records and safe data destruction checklist</w:t>
      </w:r>
    </w:p>
    <w:p w14:paraId="7A0625ED" w14:textId="77777777" w:rsidR="005E0B5C" w:rsidRDefault="006173AC" w:rsidP="005E0B5C">
      <w:pPr>
        <w:widowControl w:val="0"/>
        <w:numPr>
          <w:ilvl w:val="0"/>
          <w:numId w:val="12"/>
        </w:numPr>
        <w:spacing w:line="276" w:lineRule="auto"/>
        <w:ind w:left="1134" w:hanging="567"/>
        <w:rPr>
          <w:rFonts w:ascii="Calibri" w:eastAsia="Calibri" w:hAnsi="Calibri" w:cs="Calibri"/>
          <w:sz w:val="24"/>
          <w:szCs w:val="24"/>
        </w:rPr>
      </w:pPr>
      <w:hyperlink r:id="rId16" w:history="1">
        <w:r w:rsidR="005E0B5C">
          <w:rPr>
            <w:rStyle w:val="Hyperlink"/>
            <w:rFonts w:ascii="Calibri" w:eastAsia="Calibri" w:hAnsi="Calibri" w:cs="Calibri"/>
            <w:color w:val="0563C1"/>
            <w:sz w:val="24"/>
            <w:szCs w:val="24"/>
          </w:rPr>
          <w:t>ICO</w:t>
        </w:r>
      </w:hyperlink>
    </w:p>
    <w:p w14:paraId="58E9FCA4" w14:textId="77777777" w:rsidR="005E0B5C" w:rsidRDefault="005E0B5C" w:rsidP="005E0B5C">
      <w:pPr>
        <w:widowControl w:val="0"/>
        <w:numPr>
          <w:ilvl w:val="0"/>
          <w:numId w:val="12"/>
        </w:numPr>
        <w:spacing w:line="276" w:lineRule="auto"/>
        <w:ind w:left="1134" w:hanging="567"/>
        <w:rPr>
          <w:rFonts w:ascii="Calibri" w:eastAsia="Calibri" w:hAnsi="Calibri" w:cs="Calibri"/>
          <w:sz w:val="24"/>
          <w:szCs w:val="24"/>
        </w:rPr>
      </w:pPr>
      <w:r>
        <w:rPr>
          <w:rFonts w:ascii="Calibri" w:eastAsia="Calibri" w:hAnsi="Calibri" w:cs="Calibri"/>
          <w:sz w:val="24"/>
          <w:szCs w:val="24"/>
        </w:rPr>
        <w:t xml:space="preserve">DPEs </w:t>
      </w:r>
      <w:hyperlink r:id="rId17" w:history="1">
        <w:r>
          <w:rPr>
            <w:rStyle w:val="Hyperlink"/>
            <w:rFonts w:ascii="Calibri" w:eastAsia="Calibri" w:hAnsi="Calibri" w:cs="Calibri"/>
            <w:color w:val="0563C1"/>
            <w:sz w:val="24"/>
            <w:szCs w:val="24"/>
          </w:rPr>
          <w:t>Record of Processing (RoP)</w:t>
        </w:r>
      </w:hyperlink>
    </w:p>
    <w:p w14:paraId="238E100C" w14:textId="77777777" w:rsidR="005E0B5C" w:rsidRDefault="005E0B5C" w:rsidP="005E0B5C">
      <w:pPr>
        <w:widowControl w:val="0"/>
        <w:numPr>
          <w:ilvl w:val="0"/>
          <w:numId w:val="12"/>
        </w:numPr>
        <w:spacing w:line="276" w:lineRule="auto"/>
        <w:ind w:left="1134" w:hanging="567"/>
        <w:rPr>
          <w:rFonts w:ascii="Calibri" w:eastAsia="Calibri" w:hAnsi="Calibri" w:cs="Calibri"/>
          <w:sz w:val="24"/>
          <w:szCs w:val="24"/>
        </w:rPr>
      </w:pPr>
      <w:r>
        <w:rPr>
          <w:rFonts w:ascii="Calibri" w:eastAsia="Calibri" w:hAnsi="Calibri" w:cs="Calibri"/>
          <w:sz w:val="24"/>
          <w:szCs w:val="24"/>
        </w:rPr>
        <w:t xml:space="preserve">Laws and regulations (for example, financial regulations and handbooks and limitations act: </w:t>
      </w:r>
      <w:hyperlink r:id="rId18" w:history="1">
        <w:r>
          <w:rPr>
            <w:rStyle w:val="Hyperlink"/>
            <w:rFonts w:ascii="Calibri" w:eastAsia="Calibri" w:hAnsi="Calibri" w:cs="Calibri"/>
            <w:color w:val="0563C1"/>
            <w:sz w:val="24"/>
            <w:szCs w:val="24"/>
          </w:rPr>
          <w:t>https://www.legislation.gov.uk/ukpga/1980/58</w:t>
        </w:r>
      </w:hyperlink>
      <w:r>
        <w:rPr>
          <w:rFonts w:ascii="Calibri" w:eastAsia="Calibri" w:hAnsi="Calibri" w:cs="Calibri"/>
          <w:sz w:val="24"/>
          <w:szCs w:val="24"/>
        </w:rPr>
        <w:t xml:space="preserve"> /legislation: </w:t>
      </w:r>
      <w:hyperlink r:id="rId19" w:history="1">
        <w:r>
          <w:rPr>
            <w:rStyle w:val="Hyperlink"/>
            <w:rFonts w:ascii="Calibri" w:eastAsia="Calibri" w:hAnsi="Calibri" w:cs="Calibri"/>
            <w:color w:val="0563C1"/>
            <w:sz w:val="24"/>
            <w:szCs w:val="24"/>
          </w:rPr>
          <w:t>https://www.legislation.gov.uk/uksi/2021/833/contents/made</w:t>
        </w:r>
      </w:hyperlink>
      <w:r>
        <w:rPr>
          <w:rFonts w:ascii="Calibri" w:eastAsia="Calibri" w:hAnsi="Calibri" w:cs="Calibri"/>
          <w:sz w:val="24"/>
          <w:szCs w:val="24"/>
        </w:rPr>
        <w:t xml:space="preserve"> )</w:t>
      </w:r>
    </w:p>
    <w:p w14:paraId="1C0A687D" w14:textId="77777777" w:rsidR="005E0B5C" w:rsidRDefault="006173AC" w:rsidP="005E0B5C">
      <w:pPr>
        <w:widowControl w:val="0"/>
        <w:numPr>
          <w:ilvl w:val="0"/>
          <w:numId w:val="12"/>
        </w:numPr>
        <w:spacing w:line="276" w:lineRule="auto"/>
        <w:ind w:left="1134" w:hanging="567"/>
        <w:rPr>
          <w:rFonts w:ascii="Calibri" w:eastAsia="Calibri" w:hAnsi="Calibri" w:cs="Calibri"/>
          <w:sz w:val="24"/>
          <w:szCs w:val="24"/>
        </w:rPr>
      </w:pPr>
      <w:hyperlink r:id="rId20" w:history="1">
        <w:r w:rsidR="005E0B5C">
          <w:rPr>
            <w:rStyle w:val="Hyperlink"/>
            <w:rFonts w:ascii="Calibri" w:eastAsia="Calibri" w:hAnsi="Calibri" w:cs="Calibri"/>
            <w:color w:val="0563C1"/>
            <w:sz w:val="24"/>
            <w:szCs w:val="24"/>
          </w:rPr>
          <w:t>Microsoft retention tools</w:t>
        </w:r>
      </w:hyperlink>
    </w:p>
    <w:p w14:paraId="56574BDD" w14:textId="77777777" w:rsidR="005E0B5C" w:rsidRDefault="006173AC" w:rsidP="005E0B5C">
      <w:pPr>
        <w:widowControl w:val="0"/>
        <w:numPr>
          <w:ilvl w:val="0"/>
          <w:numId w:val="12"/>
        </w:numPr>
        <w:spacing w:line="276" w:lineRule="auto"/>
        <w:ind w:left="1134" w:hanging="567"/>
        <w:rPr>
          <w:rFonts w:ascii="Calibri" w:eastAsia="Calibri" w:hAnsi="Calibri" w:cs="Calibri"/>
          <w:sz w:val="24"/>
          <w:szCs w:val="24"/>
        </w:rPr>
      </w:pPr>
      <w:hyperlink r:id="rId21" w:history="1">
        <w:r w:rsidR="005E0B5C">
          <w:rPr>
            <w:rStyle w:val="Hyperlink"/>
            <w:rFonts w:ascii="Calibri" w:eastAsia="Calibri" w:hAnsi="Calibri" w:cs="Calibri"/>
            <w:color w:val="0563C1"/>
            <w:sz w:val="24"/>
            <w:szCs w:val="24"/>
          </w:rPr>
          <w:t>Google retention tools</w:t>
        </w:r>
      </w:hyperlink>
    </w:p>
    <w:p w14:paraId="39F119F3" w14:textId="77777777" w:rsidR="005E0B5C" w:rsidRDefault="005E0B5C" w:rsidP="005E0B5C">
      <w:pPr>
        <w:shd w:val="clear" w:color="auto" w:fill="FFFFFF"/>
        <w:ind w:left="567"/>
        <w:rPr>
          <w:rFonts w:ascii="Calibri" w:eastAsia="Calibri" w:hAnsi="Calibri" w:cs="Calibri"/>
          <w:b/>
          <w:bCs/>
          <w:color w:val="0591B4"/>
          <w:sz w:val="32"/>
          <w:szCs w:val="32"/>
        </w:rPr>
      </w:pPr>
    </w:p>
    <w:p w14:paraId="30512CC4" w14:textId="3E28D5A2" w:rsidR="001219A5" w:rsidRDefault="001219A5" w:rsidP="005F5D46">
      <w:pPr>
        <w:numPr>
          <w:ilvl w:val="0"/>
          <w:numId w:val="5"/>
        </w:numPr>
        <w:shd w:val="clear" w:color="auto" w:fill="FFFFFF"/>
        <w:ind w:left="567" w:hanging="567"/>
        <w:rPr>
          <w:rFonts w:ascii="Calibri" w:eastAsia="Calibri" w:hAnsi="Calibri" w:cs="Calibri"/>
          <w:b/>
          <w:bCs/>
          <w:color w:val="0591B4"/>
          <w:sz w:val="32"/>
          <w:szCs w:val="32"/>
        </w:rPr>
      </w:pPr>
      <w:r w:rsidRPr="001219A5">
        <w:rPr>
          <w:rFonts w:ascii="Calibri" w:eastAsia="Calibri" w:hAnsi="Calibri" w:cs="Calibri"/>
          <w:b/>
          <w:bCs/>
          <w:color w:val="0591B4"/>
          <w:sz w:val="32"/>
          <w:szCs w:val="32"/>
        </w:rPr>
        <w:t>Best Practice Checklist</w:t>
      </w:r>
    </w:p>
    <w:p w14:paraId="60CD17D7" w14:textId="4E41735D" w:rsidR="001219A5" w:rsidRPr="001219A5" w:rsidRDefault="001219A5" w:rsidP="001219A5">
      <w:pPr>
        <w:ind w:left="567"/>
        <w:rPr>
          <w:rFonts w:ascii="Calibri" w:eastAsia="Calibri" w:hAnsi="Calibri" w:cs="Calibri"/>
          <w:sz w:val="24"/>
          <w:szCs w:val="24"/>
        </w:rPr>
      </w:pPr>
      <w:r>
        <w:t xml:space="preserve">Use the </w:t>
      </w:r>
      <w:hyperlink r:id="rId22" w:history="1">
        <w:r w:rsidRPr="001219A5">
          <w:rPr>
            <w:rStyle w:val="Hyperlink"/>
            <w:rFonts w:ascii="Calibri" w:hAnsi="Calibri" w:cs="Calibri"/>
            <w:sz w:val="24"/>
            <w:szCs w:val="24"/>
          </w:rPr>
          <w:t>Best practice checklist (dataprotection.education)</w:t>
        </w:r>
      </w:hyperlink>
      <w:r>
        <w:rPr>
          <w:rStyle w:val="Hyperlink"/>
          <w:rFonts w:ascii="Calibri" w:hAnsi="Calibri" w:cs="Calibri"/>
          <w:sz w:val="24"/>
          <w:szCs w:val="24"/>
        </w:rPr>
        <w:t xml:space="preserve"> </w:t>
      </w:r>
      <w:r>
        <w:rPr>
          <w:rStyle w:val="Hyperlink"/>
          <w:rFonts w:ascii="Calibri" w:hAnsi="Calibri" w:cs="Calibri"/>
          <w:color w:val="auto"/>
          <w:sz w:val="24"/>
          <w:szCs w:val="24"/>
          <w:u w:val="none"/>
        </w:rPr>
        <w:t>to monitor and track progress made – this can also be printed in a report form to present to Governors.</w:t>
      </w:r>
      <w:r w:rsidR="005916DC">
        <w:rPr>
          <w:rStyle w:val="Hyperlink"/>
          <w:rFonts w:ascii="Calibri" w:hAnsi="Calibri" w:cs="Calibri"/>
          <w:color w:val="auto"/>
          <w:sz w:val="24"/>
          <w:szCs w:val="24"/>
          <w:u w:val="none"/>
        </w:rPr>
        <w:t xml:space="preserve">  </w:t>
      </w:r>
      <w:r w:rsidR="00571C5E">
        <w:rPr>
          <w:rStyle w:val="Hyperlink"/>
          <w:rFonts w:ascii="Calibri" w:hAnsi="Calibri" w:cs="Calibri"/>
          <w:color w:val="auto"/>
          <w:sz w:val="24"/>
          <w:szCs w:val="24"/>
          <w:u w:val="none"/>
        </w:rPr>
        <w:t>This has been updated following the information ascertained during the consultation and will be reviewed at our next meeting.</w:t>
      </w:r>
    </w:p>
    <w:p w14:paraId="1665F74E" w14:textId="77777777" w:rsidR="001219A5" w:rsidRPr="001219A5" w:rsidRDefault="001219A5" w:rsidP="001219A5">
      <w:pPr>
        <w:shd w:val="clear" w:color="auto" w:fill="FFFFFF"/>
        <w:ind w:left="567"/>
        <w:rPr>
          <w:rFonts w:ascii="Calibri" w:eastAsia="Calibri" w:hAnsi="Calibri" w:cs="Calibri"/>
          <w:b/>
          <w:bCs/>
          <w:color w:val="0591B4"/>
          <w:sz w:val="32"/>
          <w:szCs w:val="32"/>
        </w:rPr>
      </w:pPr>
    </w:p>
    <w:p w14:paraId="54B4E038" w14:textId="1C34CAB4" w:rsidR="00EA38A9" w:rsidRPr="001219A5" w:rsidRDefault="00913FAF" w:rsidP="005F5D46">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79E7E4A8" w:rsidR="00EA38A9" w:rsidRPr="00195D96" w:rsidRDefault="008E6CE8" w:rsidP="005F5D46">
      <w:pPr>
        <w:shd w:val="clear" w:color="auto" w:fill="FFFFFF"/>
        <w:ind w:left="567"/>
        <w:rPr>
          <w:rFonts w:ascii="Calibri" w:eastAsia="Calibri" w:hAnsi="Calibri" w:cs="Calibri"/>
          <w:sz w:val="24"/>
          <w:szCs w:val="24"/>
        </w:rPr>
      </w:pPr>
      <w:r>
        <w:rPr>
          <w:rFonts w:ascii="Calibri" w:eastAsia="Calibri" w:hAnsi="Calibri" w:cs="Calibri"/>
          <w:sz w:val="24"/>
          <w:szCs w:val="24"/>
        </w:rPr>
        <w:t>Demonstration of</w:t>
      </w:r>
      <w:r w:rsidR="00775FA6">
        <w:rPr>
          <w:rFonts w:ascii="Calibri" w:eastAsia="Calibri" w:hAnsi="Calibri" w:cs="Calibri"/>
          <w:sz w:val="24"/>
          <w:szCs w:val="24"/>
        </w:rPr>
        <w:t xml:space="preserve"> ‘Making the Rounds’ tool</w:t>
      </w:r>
      <w:r>
        <w:rPr>
          <w:rFonts w:ascii="Calibri" w:eastAsia="Calibri" w:hAnsi="Calibri" w:cs="Calibri"/>
          <w:sz w:val="24"/>
          <w:szCs w:val="24"/>
        </w:rPr>
        <w:t xml:space="preserve"> during the consultation</w:t>
      </w:r>
      <w:r w:rsidR="00775FA6">
        <w:rPr>
          <w:rFonts w:ascii="Calibri" w:eastAsia="Calibri" w:hAnsi="Calibri" w:cs="Calibri"/>
          <w:sz w:val="24"/>
          <w:szCs w:val="24"/>
        </w:rPr>
        <w:t>.</w:t>
      </w:r>
      <w:r w:rsidR="005916DC">
        <w:rPr>
          <w:rFonts w:ascii="Calibri" w:eastAsia="Calibri" w:hAnsi="Calibri" w:cs="Calibri"/>
          <w:sz w:val="24"/>
          <w:szCs w:val="24"/>
        </w:rPr>
        <w:t xml:space="preserve">  This can be used to identify visible data risks and raise awareness.</w:t>
      </w:r>
      <w:r w:rsidR="00775FA6">
        <w:rPr>
          <w:rFonts w:ascii="Calibri" w:eastAsia="Calibri" w:hAnsi="Calibri" w:cs="Calibri"/>
          <w:sz w:val="24"/>
          <w:szCs w:val="24"/>
        </w:rPr>
        <w:t xml:space="preserve"> </w:t>
      </w:r>
    </w:p>
    <w:p w14:paraId="42F0736E" w14:textId="77777777" w:rsidR="00EA38A9" w:rsidRPr="00195D96" w:rsidRDefault="00EA38A9" w:rsidP="005F5D46">
      <w:pPr>
        <w:ind w:left="567"/>
        <w:rPr>
          <w:rFonts w:ascii="Calibri" w:eastAsia="Calibri" w:hAnsi="Calibri" w:cs="Calibri"/>
          <w:sz w:val="24"/>
          <w:szCs w:val="24"/>
        </w:rPr>
      </w:pPr>
    </w:p>
    <w:p w14:paraId="1D8916E2" w14:textId="171EC54E" w:rsidR="00EA38A9" w:rsidRPr="00775FA6" w:rsidRDefault="00D2537B" w:rsidP="005F5D46">
      <w:pPr>
        <w:ind w:left="567"/>
        <w:rPr>
          <w:rFonts w:ascii="Calibri" w:eastAsia="Calibri" w:hAnsi="Calibri" w:cs="Calibri"/>
          <w:bCs/>
          <w:sz w:val="24"/>
          <w:szCs w:val="24"/>
        </w:rPr>
      </w:pPr>
      <w:r>
        <w:rPr>
          <w:rFonts w:ascii="Calibri" w:eastAsia="Calibri" w:hAnsi="Calibri" w:cs="Calibri"/>
          <w:bCs/>
          <w:sz w:val="24"/>
          <w:szCs w:val="24"/>
        </w:rPr>
        <w:t xml:space="preserve">Drip feed posters can be used to raise staff awareness, they’re available here: </w:t>
      </w:r>
      <w:hyperlink r:id="rId23" w:history="1">
        <w:r>
          <w:rPr>
            <w:rStyle w:val="Hyperlink"/>
          </w:rPr>
          <w:t>Drip Feeds - posters (dataprotection.education)</w:t>
        </w:r>
      </w:hyperlink>
    </w:p>
    <w:p w14:paraId="2F3FA05D" w14:textId="77777777" w:rsidR="00EA38A9" w:rsidRPr="00195D96" w:rsidRDefault="00EA38A9" w:rsidP="005F5D46">
      <w:pPr>
        <w:ind w:left="567"/>
        <w:rPr>
          <w:rFonts w:ascii="Calibri" w:eastAsia="Calibri" w:hAnsi="Calibri" w:cs="Calibri"/>
          <w:sz w:val="24"/>
          <w:szCs w:val="24"/>
        </w:rPr>
      </w:pPr>
    </w:p>
    <w:p w14:paraId="36F7D578" w14:textId="77777777" w:rsidR="00EA38A9" w:rsidRPr="00195D96" w:rsidRDefault="00EA38A9" w:rsidP="005F5D46">
      <w:pPr>
        <w:ind w:left="567"/>
        <w:rPr>
          <w:rFonts w:ascii="Calibri" w:eastAsia="Calibri" w:hAnsi="Calibri" w:cs="Calibri"/>
          <w:b/>
          <w:sz w:val="24"/>
          <w:szCs w:val="24"/>
        </w:rPr>
      </w:pPr>
    </w:p>
    <w:p w14:paraId="5CC53396" w14:textId="589EBD20" w:rsidR="00EA38A9" w:rsidRPr="00571C5E" w:rsidRDefault="00913FAF" w:rsidP="005F5D46">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5C9AAA13" w14:textId="77777777" w:rsidR="00571C5E" w:rsidRPr="00571C5E" w:rsidRDefault="00571C5E" w:rsidP="00571C5E">
      <w:pPr>
        <w:ind w:left="567"/>
        <w:rPr>
          <w:rFonts w:ascii="Calibri" w:eastAsia="Calibri" w:hAnsi="Calibri" w:cs="Calibri"/>
          <w:sz w:val="24"/>
          <w:szCs w:val="24"/>
        </w:rPr>
      </w:pPr>
      <w:r w:rsidRPr="00571C5E">
        <w:rPr>
          <w:rFonts w:ascii="Calibri" w:eastAsia="Calibri" w:hAnsi="Calibri" w:cs="Calibri"/>
          <w:sz w:val="24"/>
          <w:szCs w:val="24"/>
        </w:rPr>
        <w:t xml:space="preserve">Check out the latest webinars and workshops from the My Activities section of the DPE website. More will be added to the page for the new academic year, you can check here for updates: </w:t>
      </w:r>
      <w:hyperlink r:id="rId24">
        <w:r w:rsidRPr="00571C5E">
          <w:rPr>
            <w:rFonts w:ascii="Calibri" w:eastAsia="Calibri" w:hAnsi="Calibri" w:cs="Calibri"/>
            <w:color w:val="1155CC"/>
            <w:sz w:val="24"/>
            <w:szCs w:val="24"/>
            <w:u w:val="single"/>
          </w:rPr>
          <w:t>https://dataprotection.education/courses-heading/dpe-events</w:t>
        </w:r>
      </w:hyperlink>
      <w:r w:rsidRPr="00571C5E">
        <w:rPr>
          <w:rFonts w:ascii="Calibri" w:eastAsia="Calibri" w:hAnsi="Calibri" w:cs="Calibri"/>
          <w:sz w:val="24"/>
          <w:szCs w:val="24"/>
        </w:rPr>
        <w:t xml:space="preserve"> </w:t>
      </w:r>
    </w:p>
    <w:p w14:paraId="5CCA6BE9" w14:textId="77777777" w:rsidR="00571C5E" w:rsidRPr="00571C5E" w:rsidRDefault="00571C5E" w:rsidP="00571C5E">
      <w:pPr>
        <w:ind w:left="567"/>
        <w:rPr>
          <w:rFonts w:ascii="Calibri" w:eastAsia="Calibri" w:hAnsi="Calibri" w:cs="Calibri"/>
          <w:color w:val="0591B4"/>
          <w:sz w:val="32"/>
          <w:szCs w:val="32"/>
        </w:rPr>
      </w:pPr>
    </w:p>
    <w:p w14:paraId="4951A038" w14:textId="1C2264AB" w:rsidR="00571C5E" w:rsidRPr="00195D96" w:rsidRDefault="00571C5E" w:rsidP="005F5D46">
      <w:pPr>
        <w:numPr>
          <w:ilvl w:val="0"/>
          <w:numId w:val="5"/>
        </w:numPr>
        <w:ind w:left="567" w:hanging="567"/>
        <w:rPr>
          <w:rFonts w:ascii="Calibri" w:eastAsia="Calibri" w:hAnsi="Calibri" w:cs="Calibri"/>
          <w:color w:val="0591B4"/>
          <w:sz w:val="32"/>
          <w:szCs w:val="32"/>
        </w:rPr>
      </w:pPr>
      <w:r>
        <w:rPr>
          <w:rFonts w:ascii="Calibri" w:eastAsia="Calibri" w:hAnsi="Calibri" w:cs="Calibri"/>
          <w:b/>
          <w:color w:val="0591B4"/>
          <w:sz w:val="32"/>
          <w:szCs w:val="32"/>
        </w:rPr>
        <w:t>Any other queries</w:t>
      </w:r>
    </w:p>
    <w:p w14:paraId="745B0007" w14:textId="6D3EC293" w:rsidR="00280A26" w:rsidRDefault="00280A26" w:rsidP="00280A26">
      <w:pPr>
        <w:ind w:left="567"/>
        <w:rPr>
          <w:rFonts w:asciiTheme="majorHAnsi" w:hAnsiTheme="majorHAnsi" w:cstheme="majorHAnsi"/>
          <w:sz w:val="24"/>
          <w:szCs w:val="24"/>
        </w:rPr>
      </w:pPr>
      <w:r w:rsidRPr="00280A26">
        <w:rPr>
          <w:rFonts w:ascii="Calibri" w:eastAsia="Calibri" w:hAnsi="Calibri" w:cs="Calibri"/>
          <w:bCs/>
          <w:sz w:val="24"/>
          <w:szCs w:val="24"/>
        </w:rPr>
        <w:t xml:space="preserve">We briefly discussed the Cyber themed audit in the Autumn term on all NCC schools.  I advise that the school adopts the DPE Information Security Policy which will cover the majority of requirements of the audit. This can be found here: </w:t>
      </w:r>
      <w:hyperlink r:id="rId25" w:history="1">
        <w:r>
          <w:rPr>
            <w:rStyle w:val="Hyperlink"/>
          </w:rPr>
          <w:t>Information Security (dataprotection.education)</w:t>
        </w:r>
      </w:hyperlink>
      <w:r>
        <w:t xml:space="preserve">.  </w:t>
      </w:r>
      <w:r w:rsidRPr="00280A26">
        <w:rPr>
          <w:rFonts w:asciiTheme="majorHAnsi" w:hAnsiTheme="majorHAnsi" w:cstheme="majorHAnsi"/>
          <w:sz w:val="24"/>
          <w:szCs w:val="24"/>
        </w:rPr>
        <w:t>A model Risk Register template is being produced by DPE over the summer.</w:t>
      </w:r>
    </w:p>
    <w:p w14:paraId="1BBB7E16" w14:textId="02E0CF10" w:rsidR="00280A26" w:rsidRDefault="00280A26" w:rsidP="00280A26">
      <w:pPr>
        <w:ind w:left="567"/>
        <w:rPr>
          <w:rFonts w:asciiTheme="majorHAnsi" w:eastAsia="Calibri" w:hAnsiTheme="majorHAnsi" w:cstheme="majorHAnsi"/>
          <w:bCs/>
          <w:sz w:val="24"/>
          <w:szCs w:val="24"/>
        </w:rPr>
      </w:pPr>
    </w:p>
    <w:p w14:paraId="05744DB7" w14:textId="650E01A0" w:rsidR="00280A26" w:rsidRPr="00280A26" w:rsidRDefault="00280A26" w:rsidP="00280A26">
      <w:pPr>
        <w:ind w:left="567"/>
        <w:rPr>
          <w:rFonts w:asciiTheme="majorHAnsi" w:eastAsia="Calibri" w:hAnsiTheme="majorHAnsi" w:cstheme="majorHAnsi"/>
          <w:bCs/>
          <w:sz w:val="24"/>
          <w:szCs w:val="24"/>
        </w:rPr>
      </w:pPr>
      <w:r>
        <w:rPr>
          <w:rFonts w:asciiTheme="majorHAnsi" w:eastAsia="Calibri" w:hAnsiTheme="majorHAnsi" w:cstheme="majorHAnsi"/>
          <w:bCs/>
          <w:sz w:val="24"/>
          <w:szCs w:val="24"/>
        </w:rPr>
        <w:t>Karin suggested a benefit to ‘making the rounds’ tool would be to assign to members of staff parts of the walk-around findings, direction them to areas which require attention/improvement.  This could be a valuable application and will be recommended at the next DPE team meeting for developments on the Knowledge Bank.</w:t>
      </w:r>
    </w:p>
    <w:p w14:paraId="2131FAFC" w14:textId="2BE31716" w:rsidR="00A33653" w:rsidRPr="00571C5E" w:rsidRDefault="00A33653" w:rsidP="005F5D46">
      <w:pPr>
        <w:ind w:left="567"/>
        <w:rPr>
          <w:rFonts w:ascii="Calibri" w:eastAsia="Calibri" w:hAnsi="Calibri" w:cs="Calibri"/>
          <w:bCs/>
          <w:sz w:val="24"/>
          <w:szCs w:val="24"/>
        </w:rPr>
      </w:pPr>
    </w:p>
    <w:sectPr w:rsidR="00A33653" w:rsidRPr="00571C5E">
      <w:headerReference w:type="default" r:id="rId26"/>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4C7BB" w14:textId="77777777" w:rsidR="006173AC" w:rsidRDefault="006173AC">
      <w:r>
        <w:separator/>
      </w:r>
    </w:p>
  </w:endnote>
  <w:endnote w:type="continuationSeparator" w:id="0">
    <w:p w14:paraId="2A9EED12" w14:textId="77777777" w:rsidR="006173AC" w:rsidRDefault="00617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F12F2" w14:textId="77777777" w:rsidR="006173AC" w:rsidRDefault="006173AC">
      <w:r>
        <w:separator/>
      </w:r>
    </w:p>
  </w:footnote>
  <w:footnote w:type="continuationSeparator" w:id="0">
    <w:p w14:paraId="30325C72" w14:textId="77777777" w:rsidR="006173AC" w:rsidRDefault="00617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2D47897"/>
    <w:multiLevelType w:val="hybridMultilevel"/>
    <w:tmpl w:val="126072A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1007871">
    <w:abstractNumId w:val="1"/>
  </w:num>
  <w:num w:numId="2" w16cid:durableId="22370220">
    <w:abstractNumId w:val="6"/>
  </w:num>
  <w:num w:numId="3" w16cid:durableId="151988493">
    <w:abstractNumId w:val="3"/>
  </w:num>
  <w:num w:numId="4" w16cid:durableId="1737778700">
    <w:abstractNumId w:val="2"/>
  </w:num>
  <w:num w:numId="5" w16cid:durableId="563757572">
    <w:abstractNumId w:val="4"/>
  </w:num>
  <w:num w:numId="6" w16cid:durableId="1304694455">
    <w:abstractNumId w:val="7"/>
  </w:num>
  <w:num w:numId="7" w16cid:durableId="1961451470">
    <w:abstractNumId w:val="9"/>
  </w:num>
  <w:num w:numId="8" w16cid:durableId="1667828948">
    <w:abstractNumId w:val="0"/>
  </w:num>
  <w:num w:numId="9" w16cid:durableId="1754735704">
    <w:abstractNumId w:val="8"/>
  </w:num>
  <w:num w:numId="10" w16cid:durableId="1599875326">
    <w:abstractNumId w:val="5"/>
  </w:num>
  <w:num w:numId="11" w16cid:durableId="1773359351">
    <w:abstractNumId w:val="3"/>
  </w:num>
  <w:num w:numId="12" w16cid:durableId="93089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63610"/>
    <w:rsid w:val="000C0951"/>
    <w:rsid w:val="000E11B0"/>
    <w:rsid w:val="001030AB"/>
    <w:rsid w:val="00106CE4"/>
    <w:rsid w:val="00113374"/>
    <w:rsid w:val="001219A5"/>
    <w:rsid w:val="0015696E"/>
    <w:rsid w:val="00194150"/>
    <w:rsid w:val="00195D96"/>
    <w:rsid w:val="001A32E3"/>
    <w:rsid w:val="00280A26"/>
    <w:rsid w:val="002C0202"/>
    <w:rsid w:val="004D2C02"/>
    <w:rsid w:val="005164D0"/>
    <w:rsid w:val="00566839"/>
    <w:rsid w:val="005705D4"/>
    <w:rsid w:val="00571C5E"/>
    <w:rsid w:val="005837B4"/>
    <w:rsid w:val="005848AF"/>
    <w:rsid w:val="005916DC"/>
    <w:rsid w:val="005B0F76"/>
    <w:rsid w:val="005E0B5C"/>
    <w:rsid w:val="005F5D46"/>
    <w:rsid w:val="00606302"/>
    <w:rsid w:val="006173AC"/>
    <w:rsid w:val="00620979"/>
    <w:rsid w:val="00656581"/>
    <w:rsid w:val="00657360"/>
    <w:rsid w:val="006B6892"/>
    <w:rsid w:val="0071530D"/>
    <w:rsid w:val="00775FA6"/>
    <w:rsid w:val="007B6A30"/>
    <w:rsid w:val="00800627"/>
    <w:rsid w:val="00804104"/>
    <w:rsid w:val="00872C54"/>
    <w:rsid w:val="00893BFD"/>
    <w:rsid w:val="008D766D"/>
    <w:rsid w:val="008E6CE8"/>
    <w:rsid w:val="008F5F70"/>
    <w:rsid w:val="00913FAF"/>
    <w:rsid w:val="009E427A"/>
    <w:rsid w:val="00A0727C"/>
    <w:rsid w:val="00A33653"/>
    <w:rsid w:val="00A42E53"/>
    <w:rsid w:val="00A90D22"/>
    <w:rsid w:val="00AE1A4E"/>
    <w:rsid w:val="00B20A1A"/>
    <w:rsid w:val="00C46F11"/>
    <w:rsid w:val="00C47D3A"/>
    <w:rsid w:val="00C7625D"/>
    <w:rsid w:val="00CA6483"/>
    <w:rsid w:val="00CC4EE8"/>
    <w:rsid w:val="00D2537B"/>
    <w:rsid w:val="00D9140F"/>
    <w:rsid w:val="00E71460"/>
    <w:rsid w:val="00EA38A9"/>
    <w:rsid w:val="00EB5E67"/>
    <w:rsid w:val="00F05316"/>
    <w:rsid w:val="00F20D43"/>
    <w:rsid w:val="00F27C3B"/>
    <w:rsid w:val="00F6187D"/>
    <w:rsid w:val="00FC5FC4"/>
    <w:rsid w:val="00FD30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5F5D46"/>
    <w:rPr>
      <w:color w:val="0000FF"/>
      <w:u w:val="single"/>
    </w:rPr>
  </w:style>
  <w:style w:type="table" w:styleId="TableGrid">
    <w:name w:val="Table Grid"/>
    <w:basedOn w:val="TableNormal"/>
    <w:uiPriority w:val="39"/>
    <w:rsid w:val="005705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20A1A"/>
    <w:rPr>
      <w:color w:val="605E5C"/>
      <w:shd w:val="clear" w:color="auto" w:fill="E1DFDD"/>
    </w:rPr>
  </w:style>
  <w:style w:type="paragraph" w:styleId="ListParagraph">
    <w:name w:val="List Paragraph"/>
    <w:basedOn w:val="Normal"/>
    <w:uiPriority w:val="34"/>
    <w:qFormat/>
    <w:rsid w:val="001219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391101">
      <w:bodyDiv w:val="1"/>
      <w:marLeft w:val="0"/>
      <w:marRight w:val="0"/>
      <w:marTop w:val="0"/>
      <w:marBottom w:val="0"/>
      <w:divBdr>
        <w:top w:val="none" w:sz="0" w:space="0" w:color="auto"/>
        <w:left w:val="none" w:sz="0" w:space="0" w:color="auto"/>
        <w:bottom w:val="none" w:sz="0" w:space="0" w:color="auto"/>
        <w:right w:val="none" w:sz="0" w:space="0" w:color="auto"/>
      </w:divBdr>
    </w:div>
    <w:div w:id="1541867050">
      <w:bodyDiv w:val="1"/>
      <w:marLeft w:val="0"/>
      <w:marRight w:val="0"/>
      <w:marTop w:val="0"/>
      <w:marBottom w:val="0"/>
      <w:divBdr>
        <w:top w:val="none" w:sz="0" w:space="0" w:color="auto"/>
        <w:left w:val="none" w:sz="0" w:space="0" w:color="auto"/>
        <w:bottom w:val="none" w:sz="0" w:space="0" w:color="auto"/>
        <w:right w:val="none" w:sz="0" w:space="0" w:color="auto"/>
      </w:divBdr>
    </w:div>
    <w:div w:id="1888107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courses" TargetMode="External"/><Relationship Id="rId13" Type="http://schemas.openxmlformats.org/officeDocument/2006/relationships/hyperlink" Target="https://dataprotection.education/best-practice-library/best-practice/commitment-to-compliance" TargetMode="External"/><Relationship Id="rId18" Type="http://schemas.openxmlformats.org/officeDocument/2006/relationships/hyperlink" Target="https://www.legislation.gov.uk/ukpga/1980/58"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support.google.com/vault/answer/2990828?hl=en" TargetMode="External"/><Relationship Id="rId7" Type="http://schemas.openxmlformats.org/officeDocument/2006/relationships/endnotes" Target="endnotes.xml"/><Relationship Id="rId12" Type="http://schemas.openxmlformats.org/officeDocument/2006/relationships/hyperlink" Target="https://kb.dataprotection.education/index.php/best-practice-library/best-practice/freedom-of-information" TargetMode="External"/><Relationship Id="rId17" Type="http://schemas.openxmlformats.org/officeDocument/2006/relationships/hyperlink" Target="https://dataprotection.education/index.php?option=com_tjucm&amp;view=items&amp;client=com_tjucm.rop&amp;filter_process=generic&amp;Itemid=1258" TargetMode="External"/><Relationship Id="rId25" Type="http://schemas.openxmlformats.org/officeDocument/2006/relationships/hyperlink" Target="https://dataprotection.education/best-practice-library/best-practice/information-security" TargetMode="External"/><Relationship Id="rId2" Type="http://schemas.openxmlformats.org/officeDocument/2006/relationships/numbering" Target="numbering.xml"/><Relationship Id="rId16" Type="http://schemas.openxmlformats.org/officeDocument/2006/relationships/hyperlink" Target="https://ico.org.uk/for-organisations/guide-to-data-protection/guide-to-the-general-data-protection-regulation-gdpr/principles/storage-limitation/" TargetMode="External"/><Relationship Id="rId20" Type="http://schemas.openxmlformats.org/officeDocument/2006/relationships/hyperlink" Target="https://docs.microsoft.com/en-us/microsoft-365/compliance/retention?view=o365-worldw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news-top/news/83-best-practice-updates/182-model-publication-scheme-amendments-improvements-and-updates" TargetMode="External"/><Relationship Id="rId24" Type="http://schemas.openxmlformats.org/officeDocument/2006/relationships/hyperlink" Target="https://dataprotection.education/courses-heading/dpe-events" TargetMode="External"/><Relationship Id="rId5" Type="http://schemas.openxmlformats.org/officeDocument/2006/relationships/webSettings" Target="webSettings.xml"/><Relationship Id="rId15" Type="http://schemas.openxmlformats.org/officeDocument/2006/relationships/hyperlink" Target="https://assets.publishing.service.gov.uk/government/uploads/system/uploads/attachment_data/file/737237/Records_Checklist_Safe_Data_Destruction_Log_accessible.docx" TargetMode="External"/><Relationship Id="rId23" Type="http://schemas.openxmlformats.org/officeDocument/2006/relationships/hyperlink" Target="https://dataprotection.education/best-practice-library/documents/drip-feeds" TargetMode="External"/><Relationship Id="rId28" Type="http://schemas.openxmlformats.org/officeDocument/2006/relationships/theme" Target="theme/theme1.xml"/><Relationship Id="rId10" Type="http://schemas.openxmlformats.org/officeDocument/2006/relationships/hyperlink" Target="https://dataprotection.education/best-practice-library/best-practice/transparency" TargetMode="External"/><Relationship Id="rId19" Type="http://schemas.openxmlformats.org/officeDocument/2006/relationships/hyperlink" Target="https://www.legislation.gov.uk/uksi/2021/833/contents/made" TargetMode="External"/><Relationship Id="rId4" Type="http://schemas.openxmlformats.org/officeDocument/2006/relationships/settings" Target="settings.xml"/><Relationship Id="rId9" Type="http://schemas.openxmlformats.org/officeDocument/2006/relationships/hyperlink" Target="https://dataprotection.education/best-practice-library/best-practice/commitment-to-compliance" TargetMode="External"/><Relationship Id="rId14" Type="http://schemas.openxmlformats.org/officeDocument/2006/relationships/hyperlink" Target="https://dataprotection.education/best-practice-library/best-practice/records-management" TargetMode="External"/><Relationship Id="rId22" Type="http://schemas.openxmlformats.org/officeDocument/2006/relationships/hyperlink" Target="https://dataprotection.education/best-practice-library/checklis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94C6A-4B53-4952-90F5-54E23D735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3</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6</cp:revision>
  <dcterms:created xsi:type="dcterms:W3CDTF">2022-07-06T08:21:00Z</dcterms:created>
  <dcterms:modified xsi:type="dcterms:W3CDTF">2022-07-06T12:56:00Z</dcterms:modified>
</cp:coreProperties>
</file>