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28"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28"/>
      </w:tblGrid>
      <w:tr w:rsidR="00497C24" w:rsidRPr="00497C24" w14:paraId="4D301F14" w14:textId="77777777" w:rsidTr="00497C24">
        <w:tc>
          <w:tcPr>
            <w:tcW w:w="10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106DA2" w14:textId="77777777" w:rsidR="00497C24" w:rsidRPr="00497C24" w:rsidRDefault="00497C24" w:rsidP="00002ECB">
            <w:pPr>
              <w:numPr>
                <w:ilvl w:val="0"/>
                <w:numId w:val="3"/>
              </w:numPr>
              <w:overflowPunct/>
              <w:autoSpaceDE/>
              <w:autoSpaceDN/>
              <w:adjustRightInd/>
              <w:textAlignment w:val="auto"/>
              <w:rPr>
                <w:rFonts w:ascii="Verdana" w:hAnsi="Verdana"/>
                <w:szCs w:val="22"/>
              </w:rPr>
            </w:pPr>
            <w:r w:rsidRPr="00497C24">
              <w:rPr>
                <w:rFonts w:ascii="Verdana" w:hAnsi="Verdana"/>
                <w:szCs w:val="22"/>
              </w:rPr>
              <w:t>P</w:t>
            </w:r>
            <w:bookmarkStart w:id="0" w:name="_GoBack"/>
            <w:bookmarkEnd w:id="0"/>
            <w:r w:rsidRPr="00497C24">
              <w:rPr>
                <w:rFonts w:ascii="Verdana" w:hAnsi="Verdana"/>
                <w:szCs w:val="22"/>
              </w:rPr>
              <w:t>ROCESSING, PERSONAL DATA AND DATA SUBJECTS</w:t>
            </w:r>
          </w:p>
          <w:p w14:paraId="754AAF33" w14:textId="77777777" w:rsidR="00497C24" w:rsidRPr="00497C24" w:rsidRDefault="00497C24" w:rsidP="00002ECB">
            <w:pPr>
              <w:overflowPunct/>
              <w:autoSpaceDE/>
              <w:autoSpaceDN/>
              <w:adjustRightInd/>
              <w:ind w:left="34"/>
              <w:jc w:val="left"/>
              <w:textAlignment w:val="auto"/>
              <w:rPr>
                <w:rFonts w:ascii="Verdana" w:hAnsi="Verdana"/>
                <w:szCs w:val="22"/>
              </w:rPr>
            </w:pPr>
            <w:r w:rsidRPr="00497C24">
              <w:rPr>
                <w:rFonts w:ascii="Verdana" w:hAnsi="Verdana"/>
                <w:color w:val="FF0000"/>
                <w:szCs w:val="22"/>
              </w:rPr>
              <w:t xml:space="preserve">Customer: You </w:t>
            </w:r>
            <w:proofErr w:type="gramStart"/>
            <w:r w:rsidRPr="00497C24">
              <w:rPr>
                <w:rFonts w:ascii="Verdana" w:hAnsi="Verdana"/>
                <w:color w:val="FF0000"/>
                <w:szCs w:val="22"/>
              </w:rPr>
              <w:t>are advised</w:t>
            </w:r>
            <w:proofErr w:type="gramEnd"/>
            <w:r w:rsidRPr="00497C24">
              <w:rPr>
                <w:rFonts w:ascii="Verdana" w:hAnsi="Verdana"/>
                <w:color w:val="FF0000"/>
                <w:szCs w:val="22"/>
              </w:rPr>
              <w:t xml:space="preserve"> to consult your own legal counsel or Information and Governance Department to seek advice on completion of this section. </w:t>
            </w:r>
          </w:p>
        </w:tc>
      </w:tr>
      <w:tr w:rsidR="00497C24" w:rsidRPr="00497C24" w14:paraId="4F27CE5F" w14:textId="77777777" w:rsidTr="00497C24">
        <w:tc>
          <w:tcPr>
            <w:tcW w:w="10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251D4E" w14:textId="77777777" w:rsidR="00497C24" w:rsidRPr="00497C24" w:rsidRDefault="00497C24" w:rsidP="00002ECB">
            <w:pPr>
              <w:pStyle w:val="Heading1"/>
              <w:numPr>
                <w:ilvl w:val="0"/>
                <w:numId w:val="2"/>
              </w:numPr>
              <w:rPr>
                <w:rFonts w:ascii="Verdana" w:hAnsi="Verdana" w:cs="Arial"/>
                <w:b w:val="0"/>
                <w:caps/>
                <w:szCs w:val="22"/>
              </w:rPr>
            </w:pPr>
            <w:r w:rsidRPr="00497C24">
              <w:rPr>
                <w:rFonts w:ascii="Verdana" w:hAnsi="Verdana" w:cs="Arial"/>
                <w:b w:val="0"/>
                <w:caps/>
                <w:szCs w:val="22"/>
              </w:rPr>
              <w:t>introduction</w:t>
            </w:r>
          </w:p>
          <w:p w14:paraId="0CE2076A" w14:textId="77777777" w:rsidR="00497C24" w:rsidRPr="00497C24" w:rsidRDefault="00497C24" w:rsidP="00002ECB">
            <w:pPr>
              <w:pStyle w:val="Heading2"/>
              <w:numPr>
                <w:ilvl w:val="1"/>
                <w:numId w:val="2"/>
              </w:numPr>
              <w:jc w:val="left"/>
              <w:rPr>
                <w:rFonts w:ascii="Verdana" w:hAnsi="Verdana" w:cs="Arial"/>
                <w:szCs w:val="22"/>
              </w:rPr>
            </w:pPr>
            <w:r w:rsidRPr="00497C24">
              <w:rPr>
                <w:rFonts w:ascii="Verdana" w:hAnsi="Verdana" w:cs="Arial"/>
                <w:szCs w:val="22"/>
              </w:rPr>
              <w:t>The Supplier shall comply with any further written instructions with respect to processing by the Customer.</w:t>
            </w:r>
          </w:p>
          <w:p w14:paraId="56432B53" w14:textId="77777777" w:rsidR="00497C24" w:rsidRPr="00497C24" w:rsidRDefault="00497C24" w:rsidP="00002ECB">
            <w:pPr>
              <w:pStyle w:val="Heading2"/>
              <w:numPr>
                <w:ilvl w:val="1"/>
                <w:numId w:val="2"/>
              </w:numPr>
              <w:jc w:val="left"/>
              <w:rPr>
                <w:rFonts w:ascii="Verdana" w:hAnsi="Verdana" w:cs="Arial"/>
                <w:szCs w:val="22"/>
              </w:rPr>
            </w:pPr>
            <w:r w:rsidRPr="00497C24">
              <w:rPr>
                <w:rFonts w:ascii="Verdana" w:hAnsi="Verdana" w:cs="Arial"/>
                <w:szCs w:val="22"/>
              </w:rPr>
              <w:t xml:space="preserve">Any such further instructions </w:t>
            </w:r>
            <w:proofErr w:type="gramStart"/>
            <w:r w:rsidRPr="00497C24">
              <w:rPr>
                <w:rFonts w:ascii="Verdana" w:hAnsi="Verdana" w:cs="Arial"/>
                <w:szCs w:val="22"/>
              </w:rPr>
              <w:t>shall be incorporated</w:t>
            </w:r>
            <w:proofErr w:type="gramEnd"/>
            <w:r w:rsidRPr="00497C24">
              <w:rPr>
                <w:rFonts w:ascii="Verdana" w:hAnsi="Verdana" w:cs="Arial"/>
                <w:szCs w:val="22"/>
              </w:rPr>
              <w:t xml:space="preserve"> into this section 9 of the Master Contract Schedule.</w:t>
            </w:r>
          </w:p>
          <w:p w14:paraId="69E1E35F" w14:textId="77777777" w:rsidR="00497C24" w:rsidRPr="00497C24" w:rsidRDefault="00497C24" w:rsidP="00002ECB">
            <w:pPr>
              <w:rPr>
                <w:rFonts w:ascii="Verdana" w:hAnsi="Verdana"/>
                <w:szCs w:val="22"/>
              </w:rPr>
            </w:pPr>
            <w:r w:rsidRPr="00497C24">
              <w:rPr>
                <w:rFonts w:ascii="Verdana" w:hAnsi="Verdana"/>
                <w:szCs w:val="22"/>
                <w:highlight w:val="yellow"/>
              </w:rPr>
              <w:t>[</w:t>
            </w:r>
            <w:r w:rsidRPr="00497C24">
              <w:rPr>
                <w:rFonts w:ascii="Verdana" w:hAnsi="Verdana"/>
                <w:bCs/>
                <w:szCs w:val="22"/>
                <w:highlight w:val="yellow"/>
              </w:rPr>
              <w:t>Customer to insert details or state N/A</w:t>
            </w:r>
            <w:r w:rsidRPr="00497C24">
              <w:rPr>
                <w:rFonts w:ascii="Verdana" w:hAnsi="Verdana"/>
                <w:szCs w:val="22"/>
                <w:highlight w:val="yellow"/>
              </w:rPr>
              <w:t>]</w:t>
            </w:r>
          </w:p>
          <w:p w14:paraId="19DC93A6" w14:textId="77777777" w:rsidR="00497C24" w:rsidRPr="00497C24" w:rsidRDefault="00497C24" w:rsidP="00002ECB">
            <w:pPr>
              <w:rPr>
                <w:rFonts w:ascii="Verdana" w:hAnsi="Verdana"/>
                <w:color w:val="FF0000"/>
                <w:szCs w:val="22"/>
              </w:rPr>
            </w:pPr>
            <w:r w:rsidRPr="00497C24">
              <w:rPr>
                <w:rFonts w:ascii="Verdana" w:hAnsi="Verdana"/>
                <w:color w:val="FF0000"/>
                <w:szCs w:val="22"/>
              </w:rPr>
              <w:t xml:space="preserve">Customer: If you wish the supplier to perform any processing of personal data on your behalf then complete the ‘Details’ column of the table with the details of that processing to assure compliance with data protection legislation.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22"/>
              <w:gridCol w:w="4623"/>
            </w:tblGrid>
            <w:tr w:rsidR="00497C24" w:rsidRPr="00497C24" w14:paraId="74229F63" w14:textId="77777777" w:rsidTr="00002ECB">
              <w:tc>
                <w:tcPr>
                  <w:tcW w:w="4622" w:type="dxa"/>
                  <w:shd w:val="clear" w:color="auto" w:fill="auto"/>
                </w:tcPr>
                <w:p w14:paraId="3E18FC81" w14:textId="77777777" w:rsidR="00497C24" w:rsidRPr="00497C24" w:rsidRDefault="00497C24" w:rsidP="00002ECB">
                  <w:pPr>
                    <w:rPr>
                      <w:rFonts w:ascii="Verdana" w:eastAsia="Arial" w:hAnsi="Verdana"/>
                      <w:szCs w:val="22"/>
                    </w:rPr>
                  </w:pPr>
                  <w:r w:rsidRPr="00497C24">
                    <w:rPr>
                      <w:rFonts w:ascii="Verdana" w:eastAsia="Arial" w:hAnsi="Verdana" w:cs="Arial"/>
                      <w:szCs w:val="22"/>
                    </w:rPr>
                    <w:t>Description</w:t>
                  </w:r>
                </w:p>
              </w:tc>
              <w:tc>
                <w:tcPr>
                  <w:tcW w:w="4623" w:type="dxa"/>
                  <w:shd w:val="clear" w:color="auto" w:fill="auto"/>
                </w:tcPr>
                <w:p w14:paraId="5F9BB95A" w14:textId="77777777" w:rsidR="00497C24" w:rsidRPr="00497C24" w:rsidRDefault="00497C24" w:rsidP="00002ECB">
                  <w:pPr>
                    <w:rPr>
                      <w:rFonts w:ascii="Verdana" w:eastAsia="Arial" w:hAnsi="Verdana"/>
                      <w:szCs w:val="22"/>
                    </w:rPr>
                  </w:pPr>
                  <w:r w:rsidRPr="00497C24">
                    <w:rPr>
                      <w:rFonts w:ascii="Verdana" w:eastAsia="Arial" w:hAnsi="Verdana" w:cs="Arial"/>
                      <w:szCs w:val="22"/>
                    </w:rPr>
                    <w:t>Details</w:t>
                  </w:r>
                </w:p>
              </w:tc>
            </w:tr>
            <w:tr w:rsidR="00497C24" w:rsidRPr="00497C24" w14:paraId="6FC9E2F4" w14:textId="77777777" w:rsidTr="00002ECB">
              <w:tc>
                <w:tcPr>
                  <w:tcW w:w="4622" w:type="dxa"/>
                  <w:shd w:val="clear" w:color="auto" w:fill="auto"/>
                </w:tcPr>
                <w:p w14:paraId="6F49962B" w14:textId="77777777" w:rsidR="00497C24" w:rsidRPr="00497C24" w:rsidRDefault="00497C24" w:rsidP="00002ECB">
                  <w:pPr>
                    <w:rPr>
                      <w:rFonts w:ascii="Verdana" w:eastAsia="Arial" w:hAnsi="Verdana"/>
                      <w:szCs w:val="22"/>
                    </w:rPr>
                  </w:pPr>
                  <w:r w:rsidRPr="00497C24">
                    <w:rPr>
                      <w:rFonts w:ascii="Verdana" w:eastAsia="Arial" w:hAnsi="Verdana" w:cs="Arial"/>
                      <w:szCs w:val="22"/>
                    </w:rPr>
                    <w:t>Subject matter of the processing</w:t>
                  </w:r>
                </w:p>
              </w:tc>
              <w:tc>
                <w:tcPr>
                  <w:tcW w:w="4623" w:type="dxa"/>
                  <w:shd w:val="clear" w:color="auto" w:fill="auto"/>
                </w:tcPr>
                <w:p w14:paraId="7512DD8A" w14:textId="77777777" w:rsidR="00497C24" w:rsidRPr="00497C24" w:rsidRDefault="00497C24" w:rsidP="00002ECB">
                  <w:pPr>
                    <w:rPr>
                      <w:rFonts w:ascii="Verdana" w:eastAsia="Arial" w:hAnsi="Verdana"/>
                      <w:szCs w:val="22"/>
                    </w:rPr>
                  </w:pPr>
                  <w:r w:rsidRPr="00497C24">
                    <w:rPr>
                      <w:rFonts w:ascii="Verdana" w:eastAsia="Arial" w:hAnsi="Verdana" w:cs="Arial"/>
                      <w:color w:val="FF0000"/>
                      <w:szCs w:val="22"/>
                    </w:rPr>
                    <w:t>This should be a high level, short description of what the processing is about i.e. its subject matter.</w:t>
                  </w:r>
                </w:p>
              </w:tc>
            </w:tr>
            <w:tr w:rsidR="00497C24" w:rsidRPr="00497C24" w14:paraId="1F7052E4" w14:textId="77777777" w:rsidTr="00002ECB">
              <w:tc>
                <w:tcPr>
                  <w:tcW w:w="4622" w:type="dxa"/>
                  <w:shd w:val="clear" w:color="auto" w:fill="auto"/>
                </w:tcPr>
                <w:p w14:paraId="2F14932B" w14:textId="77777777" w:rsidR="00497C24" w:rsidRPr="00497C24" w:rsidRDefault="00497C24" w:rsidP="00002ECB">
                  <w:pPr>
                    <w:rPr>
                      <w:rFonts w:ascii="Verdana" w:eastAsia="Arial" w:hAnsi="Verdana"/>
                      <w:szCs w:val="22"/>
                    </w:rPr>
                  </w:pPr>
                  <w:r w:rsidRPr="00497C24">
                    <w:rPr>
                      <w:rFonts w:ascii="Verdana" w:eastAsia="Arial" w:hAnsi="Verdana" w:cs="Arial"/>
                      <w:szCs w:val="22"/>
                    </w:rPr>
                    <w:t>Duration of the processing</w:t>
                  </w:r>
                </w:p>
              </w:tc>
              <w:tc>
                <w:tcPr>
                  <w:tcW w:w="4623" w:type="dxa"/>
                  <w:shd w:val="clear" w:color="auto" w:fill="auto"/>
                </w:tcPr>
                <w:p w14:paraId="435E9B15" w14:textId="77777777" w:rsidR="00497C24" w:rsidRPr="00497C24" w:rsidRDefault="00497C24" w:rsidP="00002ECB">
                  <w:pPr>
                    <w:rPr>
                      <w:rFonts w:ascii="Verdana" w:eastAsia="Arial" w:hAnsi="Verdana"/>
                      <w:szCs w:val="22"/>
                    </w:rPr>
                  </w:pPr>
                  <w:r w:rsidRPr="00497C24">
                    <w:rPr>
                      <w:rFonts w:ascii="Verdana" w:eastAsia="Arial" w:hAnsi="Verdana" w:cs="Arial"/>
                      <w:color w:val="FF0000"/>
                      <w:szCs w:val="22"/>
                    </w:rPr>
                    <w:t>Clearly set out the duration of the processing, including dates.</w:t>
                  </w:r>
                </w:p>
              </w:tc>
            </w:tr>
            <w:tr w:rsidR="00497C24" w:rsidRPr="00497C24" w14:paraId="6F162593" w14:textId="77777777" w:rsidTr="00002ECB">
              <w:tc>
                <w:tcPr>
                  <w:tcW w:w="4622" w:type="dxa"/>
                  <w:shd w:val="clear" w:color="auto" w:fill="auto"/>
                </w:tcPr>
                <w:p w14:paraId="3328BBA3" w14:textId="77777777" w:rsidR="00497C24" w:rsidRPr="00497C24" w:rsidRDefault="00497C24" w:rsidP="00002ECB">
                  <w:pPr>
                    <w:rPr>
                      <w:rFonts w:ascii="Verdana" w:eastAsia="Arial" w:hAnsi="Verdana"/>
                      <w:szCs w:val="22"/>
                    </w:rPr>
                  </w:pPr>
                  <w:r w:rsidRPr="00497C24">
                    <w:rPr>
                      <w:rFonts w:ascii="Verdana" w:eastAsia="Arial" w:hAnsi="Verdana" w:cs="Arial"/>
                      <w:szCs w:val="22"/>
                    </w:rPr>
                    <w:t>Nature and purposes of the processing</w:t>
                  </w:r>
                </w:p>
              </w:tc>
              <w:tc>
                <w:tcPr>
                  <w:tcW w:w="4623" w:type="dxa"/>
                  <w:shd w:val="clear" w:color="auto" w:fill="auto"/>
                </w:tcPr>
                <w:p w14:paraId="3CB328A4" w14:textId="77777777" w:rsidR="00497C24" w:rsidRPr="00497C24" w:rsidRDefault="00497C24" w:rsidP="00002ECB">
                  <w:pPr>
                    <w:pStyle w:val="Heading2"/>
                    <w:numPr>
                      <w:ilvl w:val="0"/>
                      <w:numId w:val="0"/>
                    </w:numPr>
                    <w:jc w:val="left"/>
                    <w:rPr>
                      <w:rFonts w:ascii="Verdana" w:eastAsia="Arial" w:hAnsi="Verdana" w:cs="Arial"/>
                      <w:color w:val="FF0000"/>
                      <w:szCs w:val="22"/>
                    </w:rPr>
                  </w:pPr>
                  <w:r w:rsidRPr="00497C24">
                    <w:rPr>
                      <w:rFonts w:ascii="Verdana" w:eastAsia="Arial" w:hAnsi="Verdana" w:cs="Arial"/>
                      <w:color w:val="FF0000"/>
                      <w:szCs w:val="22"/>
                    </w:rPr>
                    <w:t>Be as specific as possible, but make sure that you cover all intended purposes.</w:t>
                  </w:r>
                </w:p>
                <w:p w14:paraId="402AFFE8" w14:textId="77777777" w:rsidR="00497C24" w:rsidRPr="00497C24" w:rsidRDefault="00497C24" w:rsidP="00002ECB">
                  <w:pPr>
                    <w:pStyle w:val="Heading2"/>
                    <w:numPr>
                      <w:ilvl w:val="0"/>
                      <w:numId w:val="0"/>
                    </w:numPr>
                    <w:jc w:val="left"/>
                    <w:rPr>
                      <w:rFonts w:ascii="Verdana" w:eastAsia="Arial" w:hAnsi="Verdana" w:cs="Arial"/>
                      <w:color w:val="FF0000"/>
                      <w:szCs w:val="22"/>
                    </w:rPr>
                  </w:pPr>
                  <w:r w:rsidRPr="00497C24">
                    <w:rPr>
                      <w:rFonts w:ascii="Verdana" w:eastAsia="Arial" w:hAnsi="Verdana" w:cs="Arial"/>
                      <w:color w:val="FF0000"/>
                      <w:szCs w:val="22"/>
                    </w:rPr>
                    <w:t>The nature of the processing means any operation such as collection, recording, organisation, structuring, storage, adaptation or alteration, retrieval, consultation, use, disclosure by transmission, dissemination or otherwise making available, alignment or combination, restriction, erasure or destruction of data (whether or not by automated means) etc.</w:t>
                  </w:r>
                </w:p>
                <w:p w14:paraId="4CA84970" w14:textId="77777777" w:rsidR="00497C24" w:rsidRPr="00497C24" w:rsidRDefault="00497C24" w:rsidP="00002ECB">
                  <w:pPr>
                    <w:rPr>
                      <w:rFonts w:ascii="Verdana" w:eastAsia="Arial" w:hAnsi="Verdana"/>
                      <w:szCs w:val="22"/>
                    </w:rPr>
                  </w:pPr>
                  <w:r w:rsidRPr="00497C24">
                    <w:rPr>
                      <w:rFonts w:ascii="Verdana" w:eastAsia="Arial" w:hAnsi="Verdana" w:cs="Arial"/>
                      <w:color w:val="FF0000"/>
                      <w:szCs w:val="22"/>
                    </w:rPr>
                    <w:t>The purpose might include; employment processing, statutory obligation, recruitment assessment etc.</w:t>
                  </w:r>
                </w:p>
              </w:tc>
            </w:tr>
            <w:tr w:rsidR="00497C24" w:rsidRPr="00497C24" w14:paraId="6B5C0551" w14:textId="77777777" w:rsidTr="00002ECB">
              <w:tc>
                <w:tcPr>
                  <w:tcW w:w="4622" w:type="dxa"/>
                  <w:shd w:val="clear" w:color="auto" w:fill="auto"/>
                </w:tcPr>
                <w:p w14:paraId="3FAC7B14" w14:textId="77777777" w:rsidR="00497C24" w:rsidRPr="00497C24" w:rsidRDefault="00497C24" w:rsidP="00002ECB">
                  <w:pPr>
                    <w:rPr>
                      <w:rFonts w:ascii="Verdana" w:eastAsia="Arial" w:hAnsi="Verdana"/>
                      <w:szCs w:val="22"/>
                    </w:rPr>
                  </w:pPr>
                  <w:r w:rsidRPr="00497C24">
                    <w:rPr>
                      <w:rFonts w:ascii="Verdana" w:eastAsia="Arial" w:hAnsi="Verdana" w:cs="Arial"/>
                      <w:szCs w:val="22"/>
                    </w:rPr>
                    <w:t>Type of Personal Data</w:t>
                  </w:r>
                </w:p>
              </w:tc>
              <w:tc>
                <w:tcPr>
                  <w:tcW w:w="4623" w:type="dxa"/>
                  <w:shd w:val="clear" w:color="auto" w:fill="auto"/>
                </w:tcPr>
                <w:p w14:paraId="56FA7FB6" w14:textId="77777777" w:rsidR="00497C24" w:rsidRPr="00497C24" w:rsidRDefault="00497C24" w:rsidP="00002ECB">
                  <w:pPr>
                    <w:rPr>
                      <w:rFonts w:ascii="Verdana" w:eastAsia="Arial" w:hAnsi="Verdana" w:cs="Arial"/>
                      <w:color w:val="FF0000"/>
                      <w:szCs w:val="22"/>
                    </w:rPr>
                  </w:pPr>
                  <w:r w:rsidRPr="00497C24">
                    <w:rPr>
                      <w:rFonts w:ascii="Verdana" w:eastAsia="Arial" w:hAnsi="Verdana" w:cs="Arial"/>
                      <w:color w:val="FF0000"/>
                      <w:szCs w:val="22"/>
                    </w:rPr>
                    <w:t>Examples here include</w:t>
                  </w:r>
                  <w:proofErr w:type="gramStart"/>
                  <w:r w:rsidRPr="00497C24">
                    <w:rPr>
                      <w:rFonts w:ascii="Verdana" w:eastAsia="Arial" w:hAnsi="Verdana" w:cs="Arial"/>
                      <w:color w:val="FF0000"/>
                      <w:szCs w:val="22"/>
                    </w:rPr>
                    <w:t>;</w:t>
                  </w:r>
                  <w:proofErr w:type="gramEnd"/>
                  <w:r w:rsidRPr="00497C24">
                    <w:rPr>
                      <w:rFonts w:ascii="Verdana" w:eastAsia="Arial" w:hAnsi="Verdana" w:cs="Arial"/>
                      <w:color w:val="FF0000"/>
                      <w:szCs w:val="22"/>
                    </w:rPr>
                    <w:t xml:space="preserve"> name, address, date of birth, NI number, telephone number, pay, images, biometric data etc.</w:t>
                  </w:r>
                </w:p>
                <w:p w14:paraId="630253F7" w14:textId="77777777" w:rsidR="00497C24" w:rsidRPr="00497C24" w:rsidRDefault="00497C24" w:rsidP="00002ECB">
                  <w:pPr>
                    <w:rPr>
                      <w:rFonts w:ascii="Verdana" w:eastAsia="Arial" w:hAnsi="Verdana"/>
                      <w:szCs w:val="22"/>
                    </w:rPr>
                  </w:pPr>
                </w:p>
              </w:tc>
            </w:tr>
            <w:tr w:rsidR="00497C24" w:rsidRPr="00497C24" w14:paraId="0FDC847C" w14:textId="77777777" w:rsidTr="00002ECB">
              <w:tc>
                <w:tcPr>
                  <w:tcW w:w="4622" w:type="dxa"/>
                  <w:shd w:val="clear" w:color="auto" w:fill="auto"/>
                </w:tcPr>
                <w:p w14:paraId="4444E56B" w14:textId="77777777" w:rsidR="00497C24" w:rsidRPr="00497C24" w:rsidRDefault="00497C24" w:rsidP="00002ECB">
                  <w:pPr>
                    <w:rPr>
                      <w:rFonts w:ascii="Verdana" w:eastAsia="Arial" w:hAnsi="Verdana"/>
                      <w:szCs w:val="22"/>
                    </w:rPr>
                  </w:pPr>
                  <w:r w:rsidRPr="00497C24">
                    <w:rPr>
                      <w:rFonts w:ascii="Verdana" w:eastAsia="Arial" w:hAnsi="Verdana" w:cs="Arial"/>
                      <w:szCs w:val="22"/>
                    </w:rPr>
                    <w:lastRenderedPageBreak/>
                    <w:t>Categories of Data Subject</w:t>
                  </w:r>
                </w:p>
              </w:tc>
              <w:tc>
                <w:tcPr>
                  <w:tcW w:w="4623" w:type="dxa"/>
                  <w:shd w:val="clear" w:color="auto" w:fill="auto"/>
                </w:tcPr>
                <w:p w14:paraId="2222106A" w14:textId="77777777" w:rsidR="00497C24" w:rsidRPr="00497C24" w:rsidRDefault="00497C24" w:rsidP="00002ECB">
                  <w:pPr>
                    <w:rPr>
                      <w:rFonts w:ascii="Verdana" w:eastAsia="Arial" w:hAnsi="Verdana"/>
                      <w:szCs w:val="22"/>
                    </w:rPr>
                  </w:pPr>
                  <w:r w:rsidRPr="00497C24">
                    <w:rPr>
                      <w:rFonts w:ascii="Verdana" w:eastAsia="Arial" w:hAnsi="Verdana" w:cs="Arial"/>
                      <w:color w:val="FF0000"/>
                      <w:szCs w:val="22"/>
                    </w:rPr>
                    <w:t>Examples here include; Staff (including volunteers, agents and temporary workers), customers/clients, suppliers, patients, students/pupils, members of the public, users of a particular website etc.</w:t>
                  </w:r>
                </w:p>
              </w:tc>
            </w:tr>
            <w:tr w:rsidR="00497C24" w:rsidRPr="00497C24" w14:paraId="722F9C0C" w14:textId="77777777" w:rsidTr="00002ECB">
              <w:tc>
                <w:tcPr>
                  <w:tcW w:w="4622" w:type="dxa"/>
                  <w:shd w:val="clear" w:color="auto" w:fill="auto"/>
                </w:tcPr>
                <w:p w14:paraId="19D33196" w14:textId="77777777" w:rsidR="00497C24" w:rsidRPr="00497C24" w:rsidRDefault="00497C24" w:rsidP="00002ECB">
                  <w:pPr>
                    <w:rPr>
                      <w:rFonts w:ascii="Verdana" w:eastAsia="Arial" w:hAnsi="Verdana"/>
                      <w:szCs w:val="22"/>
                    </w:rPr>
                  </w:pPr>
                  <w:r w:rsidRPr="00497C24">
                    <w:rPr>
                      <w:rFonts w:ascii="Verdana" w:eastAsia="Arial" w:hAnsi="Verdana" w:cs="Arial"/>
                      <w:szCs w:val="22"/>
                    </w:rPr>
                    <w:t>Plan for return and destruction of the data once the processing is complete unless requirement under union or member state law to preserve that type of data.</w:t>
                  </w:r>
                </w:p>
              </w:tc>
              <w:tc>
                <w:tcPr>
                  <w:tcW w:w="4623" w:type="dxa"/>
                  <w:shd w:val="clear" w:color="auto" w:fill="auto"/>
                </w:tcPr>
                <w:p w14:paraId="5622053B" w14:textId="77777777" w:rsidR="00497C24" w:rsidRPr="00497C24" w:rsidRDefault="00497C24" w:rsidP="00002ECB">
                  <w:pPr>
                    <w:rPr>
                      <w:rFonts w:ascii="Verdana" w:eastAsia="Arial" w:hAnsi="Verdana"/>
                      <w:szCs w:val="22"/>
                    </w:rPr>
                  </w:pPr>
                  <w:r w:rsidRPr="00497C24">
                    <w:rPr>
                      <w:rFonts w:ascii="Verdana" w:eastAsia="Arial" w:hAnsi="Verdana" w:cs="Arial"/>
                      <w:color w:val="FF0000"/>
                      <w:szCs w:val="22"/>
                    </w:rPr>
                    <w:t xml:space="preserve">Describe how long the data </w:t>
                  </w:r>
                  <w:proofErr w:type="gramStart"/>
                  <w:r w:rsidRPr="00497C24">
                    <w:rPr>
                      <w:rFonts w:ascii="Verdana" w:eastAsia="Arial" w:hAnsi="Verdana" w:cs="Arial"/>
                      <w:color w:val="FF0000"/>
                      <w:szCs w:val="22"/>
                    </w:rPr>
                    <w:t>will be retained</w:t>
                  </w:r>
                  <w:proofErr w:type="gramEnd"/>
                  <w:r w:rsidRPr="00497C24">
                    <w:rPr>
                      <w:rFonts w:ascii="Verdana" w:eastAsia="Arial" w:hAnsi="Verdana" w:cs="Arial"/>
                      <w:color w:val="FF0000"/>
                      <w:szCs w:val="22"/>
                    </w:rPr>
                    <w:t xml:space="preserve"> for, how it will be returned or destroyed.</w:t>
                  </w:r>
                </w:p>
              </w:tc>
            </w:tr>
          </w:tbl>
          <w:p w14:paraId="27825C9E" w14:textId="77777777" w:rsidR="00497C24" w:rsidRPr="00497C24" w:rsidRDefault="00497C24" w:rsidP="00002ECB">
            <w:pPr>
              <w:overflowPunct/>
              <w:autoSpaceDE/>
              <w:autoSpaceDN/>
              <w:adjustRightInd/>
              <w:ind w:left="284"/>
              <w:textAlignment w:val="auto"/>
              <w:rPr>
                <w:rFonts w:ascii="Verdana" w:hAnsi="Verdana"/>
                <w:szCs w:val="22"/>
              </w:rPr>
            </w:pPr>
          </w:p>
        </w:tc>
      </w:tr>
      <w:tr w:rsidR="00497C24" w:rsidRPr="00497C24" w14:paraId="36F60E90" w14:textId="77777777" w:rsidTr="00497C24">
        <w:tc>
          <w:tcPr>
            <w:tcW w:w="10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24FC76" w14:textId="77777777" w:rsidR="00497C24" w:rsidRPr="00497C24" w:rsidRDefault="00497C24" w:rsidP="00002ECB">
            <w:pPr>
              <w:numPr>
                <w:ilvl w:val="0"/>
                <w:numId w:val="3"/>
              </w:numPr>
              <w:overflowPunct/>
              <w:autoSpaceDE/>
              <w:autoSpaceDN/>
              <w:adjustRightInd/>
              <w:textAlignment w:val="auto"/>
              <w:rPr>
                <w:rFonts w:ascii="Verdana" w:hAnsi="Verdana"/>
                <w:szCs w:val="22"/>
              </w:rPr>
            </w:pPr>
            <w:r w:rsidRPr="00497C24">
              <w:rPr>
                <w:rFonts w:ascii="Verdana" w:hAnsi="Verdana"/>
                <w:szCs w:val="22"/>
              </w:rPr>
              <w:lastRenderedPageBreak/>
              <w:t>Personal Data under the Joint Control of the Parties</w:t>
            </w:r>
          </w:p>
        </w:tc>
      </w:tr>
      <w:tr w:rsidR="00497C24" w:rsidRPr="00497C24" w14:paraId="44F0A7CD" w14:textId="77777777" w:rsidTr="00497C24">
        <w:tc>
          <w:tcPr>
            <w:tcW w:w="10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8998008" w14:textId="77777777" w:rsidR="00497C24" w:rsidRPr="00497C24" w:rsidRDefault="00497C24" w:rsidP="00002ECB">
            <w:pPr>
              <w:rPr>
                <w:color w:val="FF0000"/>
              </w:rPr>
            </w:pPr>
            <w:r w:rsidRPr="00497C24">
              <w:rPr>
                <w:color w:val="FF0000"/>
              </w:rPr>
              <w:t>Customer: Delete [Parties], [Customer], or [Supplier] in the text below, depending on who will be responsible for the various actions, or if this section does not apply state N/A and leave as is.</w:t>
            </w:r>
          </w:p>
          <w:p w14:paraId="53D184F4" w14:textId="77777777" w:rsidR="00497C24" w:rsidRPr="00497C24" w:rsidRDefault="00497C24" w:rsidP="00002ECB">
            <w:r w:rsidRPr="00497C24">
              <w:t>The following section 10 applies to Personal Data under the Joint Control of the Parties as described in clause 16.8.15 of this Contract.</w:t>
            </w:r>
          </w:p>
          <w:p w14:paraId="27E65A83" w14:textId="77777777" w:rsidR="00497C24" w:rsidRPr="00497C24" w:rsidRDefault="00497C24" w:rsidP="00002ECB">
            <w:r w:rsidRPr="00497C24">
              <w:t xml:space="preserve">1. The </w:t>
            </w:r>
            <w:r w:rsidRPr="00497C24">
              <w:rPr>
                <w:highlight w:val="yellow"/>
              </w:rPr>
              <w:t>[Parties] [Customer] [Supplier]</w:t>
            </w:r>
            <w:r w:rsidRPr="00497C24">
              <w:t xml:space="preserve"> shall be responsible for the provision of information to Data Subjects as detailed in GDPR Article 13 (Information to </w:t>
            </w:r>
            <w:proofErr w:type="gramStart"/>
            <w:r w:rsidRPr="00497C24">
              <w:t>be provided</w:t>
            </w:r>
            <w:proofErr w:type="gramEnd"/>
            <w:r w:rsidRPr="00497C24">
              <w:t xml:space="preserve"> where personal data are collected from the data subject).</w:t>
            </w:r>
          </w:p>
          <w:p w14:paraId="4B2B0D36" w14:textId="77777777" w:rsidR="00497C24" w:rsidRPr="00497C24" w:rsidRDefault="00497C24" w:rsidP="00002ECB">
            <w:r w:rsidRPr="00497C24">
              <w:t xml:space="preserve">2. The </w:t>
            </w:r>
            <w:r w:rsidRPr="00497C24">
              <w:rPr>
                <w:highlight w:val="yellow"/>
              </w:rPr>
              <w:t>[Parties] [Customer] [Supplier]</w:t>
            </w:r>
            <w:r w:rsidRPr="00497C24">
              <w:t xml:space="preserve"> shall be responsible for the provision of information to Data </w:t>
            </w:r>
            <w:proofErr w:type="gramStart"/>
            <w:r w:rsidRPr="00497C24">
              <w:t>Subjects  as</w:t>
            </w:r>
            <w:proofErr w:type="gramEnd"/>
            <w:r w:rsidRPr="00497C24">
              <w:t xml:space="preserve"> detailed in GDPR Article 14 (Information to be provided where personal data have not been obtained from the data subject).</w:t>
            </w:r>
          </w:p>
          <w:p w14:paraId="4DA69E3E" w14:textId="77777777" w:rsidR="00497C24" w:rsidRPr="00497C24" w:rsidRDefault="00497C24" w:rsidP="00002ECB">
            <w:r w:rsidRPr="00497C24">
              <w:t xml:space="preserve">3.  The </w:t>
            </w:r>
            <w:r w:rsidRPr="00497C24">
              <w:rPr>
                <w:highlight w:val="yellow"/>
              </w:rPr>
              <w:t>[Parties] [Customer] [Supplier]</w:t>
            </w:r>
            <w:r w:rsidRPr="00497C24">
              <w:t xml:space="preserve"> shall be responsible for responding to any request for information from a Data Subject under GDPR Article 15 (Right of access by the data subject).</w:t>
            </w:r>
          </w:p>
          <w:p w14:paraId="0C119142" w14:textId="77777777" w:rsidR="00497C24" w:rsidRPr="00497C24" w:rsidRDefault="00497C24" w:rsidP="00002ECB">
            <w:r w:rsidRPr="00497C24">
              <w:t>4.  The [</w:t>
            </w:r>
            <w:r w:rsidRPr="00497C24">
              <w:rPr>
                <w:highlight w:val="yellow"/>
              </w:rPr>
              <w:t>Parties] [Customer] [Supplier</w:t>
            </w:r>
            <w:r w:rsidRPr="00497C24">
              <w:t>] shall be responsible for responding to and rectifying any request for rectification from a Data Subject under GDPR Article 16 (Right to rectification).</w:t>
            </w:r>
          </w:p>
          <w:p w14:paraId="18FE5790" w14:textId="77777777" w:rsidR="00497C24" w:rsidRPr="00497C24" w:rsidRDefault="00497C24" w:rsidP="00002ECB">
            <w:r w:rsidRPr="00497C24">
              <w:t>5.  The [</w:t>
            </w:r>
            <w:r w:rsidRPr="00497C24">
              <w:rPr>
                <w:highlight w:val="yellow"/>
              </w:rPr>
              <w:t>Parties] [Customer] [Supplier</w:t>
            </w:r>
            <w:r w:rsidRPr="00497C24">
              <w:t xml:space="preserve">] shall be responsible for responding to and </w:t>
            </w:r>
            <w:proofErr w:type="gramStart"/>
            <w:r w:rsidRPr="00497C24">
              <w:t>erasing  any</w:t>
            </w:r>
            <w:proofErr w:type="gramEnd"/>
            <w:r w:rsidRPr="00497C24">
              <w:t xml:space="preserve"> request for the right to erasure  from a Data Subject under GDPR Article 17 (Right to erasure (right to be forgotten)).</w:t>
            </w:r>
          </w:p>
          <w:p w14:paraId="7071E6D5" w14:textId="77777777" w:rsidR="00497C24" w:rsidRPr="00497C24" w:rsidRDefault="00497C24" w:rsidP="00002ECB">
            <w:r w:rsidRPr="00497C24">
              <w:t>6.  The [</w:t>
            </w:r>
            <w:r w:rsidRPr="00497C24">
              <w:rPr>
                <w:highlight w:val="yellow"/>
              </w:rPr>
              <w:t>Parties] [Customer] [Supplier</w:t>
            </w:r>
            <w:r w:rsidRPr="00497C24">
              <w:t>] shall be responsible for responding to and restricting any request for restriction of processing from a Data Subject under GDPR Article 18 (Right to restriction of processing).</w:t>
            </w:r>
          </w:p>
          <w:p w14:paraId="5CB16A12" w14:textId="77777777" w:rsidR="00497C24" w:rsidRPr="00497C24" w:rsidRDefault="00497C24" w:rsidP="00002ECB">
            <w:proofErr w:type="gramStart"/>
            <w:r w:rsidRPr="00497C24">
              <w:t xml:space="preserve">7.  The </w:t>
            </w:r>
            <w:r w:rsidRPr="00497C24">
              <w:rPr>
                <w:highlight w:val="yellow"/>
              </w:rPr>
              <w:t>[Parties] [Customer] [Supplier</w:t>
            </w:r>
            <w:r w:rsidRPr="00497C24">
              <w:t>] shall be responsible for notifying any rectification or erasure of personal data or restriction of processing carried out in accordance with GDPR Articles 16, 17 and 18 to each recipient to whom the personal data have been disclosed in accordance with GPR Article 19 (Notification obligation regarding rectification or erasure of personal data or restriction of processing).</w:t>
            </w:r>
            <w:proofErr w:type="gramEnd"/>
          </w:p>
          <w:p w14:paraId="1D3F1593" w14:textId="77777777" w:rsidR="00497C24" w:rsidRPr="00497C24" w:rsidRDefault="00497C24" w:rsidP="00002ECB">
            <w:r w:rsidRPr="00497C24">
              <w:t>8.  The [</w:t>
            </w:r>
            <w:r w:rsidRPr="00497C24">
              <w:rPr>
                <w:highlight w:val="yellow"/>
              </w:rPr>
              <w:t>Parties] [Customer] [Supplier</w:t>
            </w:r>
            <w:r w:rsidRPr="00497C24">
              <w:t xml:space="preserve">] shall be responsible for responding to and </w:t>
            </w:r>
            <w:proofErr w:type="gramStart"/>
            <w:r w:rsidRPr="00497C24">
              <w:t>porting  any</w:t>
            </w:r>
            <w:proofErr w:type="gramEnd"/>
            <w:r w:rsidRPr="00497C24">
              <w:t xml:space="preserve"> request for data portability from a Data Subject under GDPR Article 20 (Right to data portability).</w:t>
            </w:r>
          </w:p>
          <w:p w14:paraId="182B647F" w14:textId="77777777" w:rsidR="00497C24" w:rsidRPr="00497C24" w:rsidRDefault="00497C24" w:rsidP="00002ECB">
            <w:r w:rsidRPr="00497C24">
              <w:t xml:space="preserve">9.  The </w:t>
            </w:r>
            <w:r w:rsidRPr="00497C24">
              <w:rPr>
                <w:highlight w:val="yellow"/>
              </w:rPr>
              <w:t>[Parties] [Customer] [Supplier</w:t>
            </w:r>
            <w:r w:rsidRPr="00497C24">
              <w:t>] shall be responsible for responding to and complying with any objection from a Data Subject under GDPR Article 21 (Right to object).</w:t>
            </w:r>
          </w:p>
          <w:p w14:paraId="53BB2989" w14:textId="77777777" w:rsidR="00497C24" w:rsidRPr="00497C24" w:rsidRDefault="00497C24" w:rsidP="00002ECB">
            <w:r w:rsidRPr="00497C24">
              <w:lastRenderedPageBreak/>
              <w:t xml:space="preserve">10.  The </w:t>
            </w:r>
            <w:r w:rsidRPr="00497C24">
              <w:rPr>
                <w:highlight w:val="yellow"/>
              </w:rPr>
              <w:t>[Parties] [Customer] [Supplier</w:t>
            </w:r>
            <w:r w:rsidRPr="00497C24">
              <w:t>] shall be responsible for ensuring a Data Subject is not subject to a decision based solely on automated processing, including profiling which causes legal effects or significant effects on the Data Subject and shall comply with GDPR Article 22 (Automated individual decision-making, including profiling).</w:t>
            </w:r>
          </w:p>
          <w:p w14:paraId="4E355EF6" w14:textId="77777777" w:rsidR="00497C24" w:rsidRPr="00497C24" w:rsidRDefault="00497C24" w:rsidP="00002ECB">
            <w:r w:rsidRPr="00497C24">
              <w:t>11.  The [</w:t>
            </w:r>
            <w:r w:rsidRPr="00497C24">
              <w:rPr>
                <w:highlight w:val="yellow"/>
              </w:rPr>
              <w:t>Parties] [Customer] [Supplier</w:t>
            </w:r>
            <w:r w:rsidRPr="00497C24">
              <w:t>] shall be responsible for notifying the supervisory authority (Information Commissioners Office) and the Data Subject of any personal data breach in accordance with GDPR Article 33 (Notification of a personal data breach to the supervisory authority) and Article 34 (Communication of a personal data breach to the data subject).</w:t>
            </w:r>
          </w:p>
          <w:p w14:paraId="7088D64F" w14:textId="77777777" w:rsidR="00497C24" w:rsidRPr="00497C24" w:rsidRDefault="00497C24" w:rsidP="00002ECB">
            <w:r w:rsidRPr="00497C24">
              <w:t>12.  Each Party shall maintain a record of its processing activities under its responsibility in accordance with GDPR Article 30 (Records of processing activities).</w:t>
            </w:r>
          </w:p>
          <w:p w14:paraId="4C9297D3" w14:textId="77777777" w:rsidR="00497C24" w:rsidRPr="00497C24" w:rsidRDefault="00497C24" w:rsidP="00002ECB">
            <w:pPr>
              <w:rPr>
                <w:color w:val="FF0000"/>
              </w:rPr>
            </w:pPr>
            <w:r w:rsidRPr="00497C24">
              <w:rPr>
                <w:color w:val="FF0000"/>
              </w:rPr>
              <w:t xml:space="preserve">Customer: Paragraph 13 is only applicable where the processing is likely to result in a high risk to the rights and freedoms of natural persons.  If this is not the case, it </w:t>
            </w:r>
            <w:proofErr w:type="gramStart"/>
            <w:r w:rsidRPr="00497C24">
              <w:rPr>
                <w:color w:val="FF0000"/>
              </w:rPr>
              <w:t>can be deleted</w:t>
            </w:r>
            <w:proofErr w:type="gramEnd"/>
            <w:r w:rsidRPr="00497C24">
              <w:rPr>
                <w:color w:val="FF0000"/>
              </w:rPr>
              <w:t>.</w:t>
            </w:r>
          </w:p>
          <w:p w14:paraId="2ED74EB3" w14:textId="77777777" w:rsidR="00497C24" w:rsidRPr="00497C24" w:rsidRDefault="00497C24" w:rsidP="00002ECB">
            <w:r w:rsidRPr="00497C24">
              <w:t>13</w:t>
            </w:r>
            <w:proofErr w:type="gramStart"/>
            <w:r w:rsidRPr="00497C24">
              <w:t>.[</w:t>
            </w:r>
            <w:proofErr w:type="gramEnd"/>
            <w:r w:rsidRPr="00497C24">
              <w:t xml:space="preserve"> The [Parties] [Customer] [Supplier] shall be responsible for carrying out a data protection impact assessment in accordance with GDPR Article 35 (Data protection impact assessment) and Article 36 (Prior consultation).]</w:t>
            </w:r>
          </w:p>
          <w:p w14:paraId="14F2E2BA" w14:textId="77777777" w:rsidR="00497C24" w:rsidRPr="00497C24" w:rsidRDefault="00497C24" w:rsidP="00002ECB">
            <w:pPr>
              <w:rPr>
                <w:rFonts w:ascii="Verdana" w:hAnsi="Verdana"/>
                <w:szCs w:val="22"/>
              </w:rPr>
            </w:pPr>
            <w:r w:rsidRPr="00497C24">
              <w:t>14.  The Parties agree that the [Customer] [Supplier] shall be the point of contact for Data Subjects.</w:t>
            </w:r>
          </w:p>
        </w:tc>
      </w:tr>
      <w:tr w:rsidR="00497C24" w:rsidRPr="00497C24" w14:paraId="574152F3" w14:textId="77777777" w:rsidTr="00497C24">
        <w:tc>
          <w:tcPr>
            <w:tcW w:w="10728" w:type="dxa"/>
            <w:tcBorders>
              <w:top w:val="single" w:sz="4" w:space="0" w:color="auto"/>
              <w:left w:val="single" w:sz="4" w:space="0" w:color="auto"/>
              <w:bottom w:val="single" w:sz="4" w:space="0" w:color="auto"/>
              <w:right w:val="single" w:sz="4" w:space="0" w:color="auto"/>
            </w:tcBorders>
          </w:tcPr>
          <w:p w14:paraId="5F624015" w14:textId="77777777" w:rsidR="00497C24" w:rsidRPr="00497C24" w:rsidRDefault="00497C24" w:rsidP="00002ECB">
            <w:pPr>
              <w:rPr>
                <w:rFonts w:ascii="Verdana" w:hAnsi="Verdana"/>
                <w:szCs w:val="22"/>
              </w:rPr>
            </w:pPr>
          </w:p>
        </w:tc>
      </w:tr>
    </w:tbl>
    <w:p w14:paraId="00180EA5" w14:textId="77777777" w:rsidR="0092148F" w:rsidRDefault="0092148F"/>
    <w:sectPr w:rsidR="00921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STZhongsong">
    <w:altName w:val="STZhongsong"/>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D1DBC"/>
    <w:multiLevelType w:val="hybridMultilevel"/>
    <w:tmpl w:val="1D3AA7C6"/>
    <w:lvl w:ilvl="0" w:tplc="471EC87C">
      <w:start w:val="1"/>
      <w:numFmt w:val="decimal"/>
      <w:lvlText w:val="%1."/>
      <w:lvlJc w:val="left"/>
      <w:pPr>
        <w:ind w:left="644" w:hanging="360"/>
      </w:pPr>
    </w:lvl>
    <w:lvl w:ilvl="1" w:tplc="E1E467BC" w:tentative="1">
      <w:start w:val="1"/>
      <w:numFmt w:val="lowerLetter"/>
      <w:lvlText w:val="%2."/>
      <w:lvlJc w:val="left"/>
      <w:pPr>
        <w:ind w:left="1440" w:hanging="360"/>
      </w:pPr>
    </w:lvl>
    <w:lvl w:ilvl="2" w:tplc="048E065A" w:tentative="1">
      <w:start w:val="1"/>
      <w:numFmt w:val="lowerRoman"/>
      <w:lvlText w:val="%3."/>
      <w:lvlJc w:val="right"/>
      <w:pPr>
        <w:ind w:left="2160" w:hanging="180"/>
      </w:pPr>
    </w:lvl>
    <w:lvl w:ilvl="3" w:tplc="EA1498E6" w:tentative="1">
      <w:start w:val="1"/>
      <w:numFmt w:val="decimal"/>
      <w:lvlText w:val="%4."/>
      <w:lvlJc w:val="left"/>
      <w:pPr>
        <w:ind w:left="2880" w:hanging="360"/>
      </w:pPr>
    </w:lvl>
    <w:lvl w:ilvl="4" w:tplc="4790B482" w:tentative="1">
      <w:start w:val="1"/>
      <w:numFmt w:val="lowerLetter"/>
      <w:lvlText w:val="%5."/>
      <w:lvlJc w:val="left"/>
      <w:pPr>
        <w:ind w:left="3600" w:hanging="360"/>
      </w:pPr>
    </w:lvl>
    <w:lvl w:ilvl="5" w:tplc="87A2D138" w:tentative="1">
      <w:start w:val="1"/>
      <w:numFmt w:val="lowerRoman"/>
      <w:lvlText w:val="%6."/>
      <w:lvlJc w:val="right"/>
      <w:pPr>
        <w:ind w:left="4320" w:hanging="180"/>
      </w:pPr>
    </w:lvl>
    <w:lvl w:ilvl="6" w:tplc="F4ECC8E6" w:tentative="1">
      <w:start w:val="1"/>
      <w:numFmt w:val="decimal"/>
      <w:lvlText w:val="%7."/>
      <w:lvlJc w:val="left"/>
      <w:pPr>
        <w:ind w:left="5040" w:hanging="360"/>
      </w:pPr>
    </w:lvl>
    <w:lvl w:ilvl="7" w:tplc="B3CC22C2" w:tentative="1">
      <w:start w:val="1"/>
      <w:numFmt w:val="lowerLetter"/>
      <w:lvlText w:val="%8."/>
      <w:lvlJc w:val="left"/>
      <w:pPr>
        <w:ind w:left="5760" w:hanging="360"/>
      </w:pPr>
    </w:lvl>
    <w:lvl w:ilvl="8" w:tplc="C8260A8E" w:tentative="1">
      <w:start w:val="1"/>
      <w:numFmt w:val="lowerRoman"/>
      <w:lvlText w:val="%9."/>
      <w:lvlJc w:val="right"/>
      <w:pPr>
        <w:ind w:left="6480" w:hanging="180"/>
      </w:pPr>
    </w:lvl>
  </w:abstractNum>
  <w:abstractNum w:abstractNumId="1" w15:restartNumberingAfterBreak="0">
    <w:nsid w:val="4D5864C6"/>
    <w:multiLevelType w:val="multilevel"/>
    <w:tmpl w:val="6276B342"/>
    <w:lvl w:ilvl="0">
      <w:start w:val="1"/>
      <w:numFmt w:val="decimal"/>
      <w:pStyle w:val="Heading1"/>
      <w:lvlText w:val="%1."/>
      <w:lvlJc w:val="left"/>
      <w:pPr>
        <w:tabs>
          <w:tab w:val="num" w:pos="720"/>
        </w:tabs>
        <w:ind w:left="720" w:hanging="720"/>
      </w:pPr>
      <w:rPr>
        <w:rFonts w:ascii="Verdana" w:eastAsia="STZhongsong" w:hAnsi="Verdana" w:cs="Times New Roman"/>
        <w:b/>
        <w:color w:val="auto"/>
        <w:effect w:val="none"/>
      </w:rPr>
    </w:lvl>
    <w:lvl w:ilvl="1">
      <w:start w:val="1"/>
      <w:numFmt w:val="decimal"/>
      <w:pStyle w:val="Heading2"/>
      <w:lvlText w:val="%1.%2"/>
      <w:lvlJc w:val="left"/>
      <w:pPr>
        <w:tabs>
          <w:tab w:val="num" w:pos="1430"/>
        </w:tabs>
        <w:ind w:left="1430" w:hanging="720"/>
      </w:pPr>
      <w:rPr>
        <w:rFonts w:hint="default"/>
        <w:b w:val="0"/>
        <w:i w:val="0"/>
        <w:color w:val="auto"/>
        <w:effect w:val="none"/>
      </w:rPr>
    </w:lvl>
    <w:lvl w:ilvl="2">
      <w:start w:val="1"/>
      <w:numFmt w:val="decimal"/>
      <w:pStyle w:val="Heading3"/>
      <w:lvlText w:val="%1.%2.%3"/>
      <w:lvlJc w:val="left"/>
      <w:pPr>
        <w:tabs>
          <w:tab w:val="num" w:pos="2138"/>
        </w:tabs>
        <w:ind w:left="2138" w:hanging="720"/>
      </w:pPr>
      <w:rPr>
        <w:rFonts w:ascii="Verdana" w:hAnsi="Verdana" w:cs="Arial" w:hint="default"/>
        <w:b w:val="0"/>
        <w:i w:val="0"/>
        <w:sz w:val="22"/>
        <w:szCs w:val="22"/>
        <w:effect w:val="none"/>
      </w:rPr>
    </w:lvl>
    <w:lvl w:ilvl="3">
      <w:start w:val="1"/>
      <w:numFmt w:val="lowerLetter"/>
      <w:pStyle w:val="Heading4"/>
      <w:lvlText w:val="(%4)"/>
      <w:lvlJc w:val="left"/>
      <w:pPr>
        <w:tabs>
          <w:tab w:val="num" w:pos="2880"/>
        </w:tabs>
        <w:ind w:left="2880" w:hanging="720"/>
      </w:pPr>
      <w:rPr>
        <w:rFonts w:hint="default"/>
        <w:effect w:val="none"/>
      </w:rPr>
    </w:lvl>
    <w:lvl w:ilvl="4">
      <w:start w:val="1"/>
      <w:numFmt w:val="lowerRoman"/>
      <w:pStyle w:val="Heading5"/>
      <w:lvlText w:val="(%5)"/>
      <w:lvlJc w:val="left"/>
      <w:pPr>
        <w:tabs>
          <w:tab w:val="num" w:pos="3600"/>
        </w:tabs>
        <w:ind w:left="3600" w:hanging="720"/>
      </w:pPr>
      <w:rPr>
        <w:rFonts w:hint="default"/>
        <w:effect w:val="none"/>
      </w:rPr>
    </w:lvl>
    <w:lvl w:ilvl="5">
      <w:start w:val="1"/>
      <w:numFmt w:val="lowerRoman"/>
      <w:pStyle w:val="Heading6"/>
      <w:lvlText w:val="(%6)"/>
      <w:lvlJc w:val="left"/>
      <w:pPr>
        <w:tabs>
          <w:tab w:val="num" w:pos="4320"/>
        </w:tabs>
        <w:ind w:left="4320" w:hanging="720"/>
      </w:pPr>
      <w:rPr>
        <w:rFonts w:hint="default"/>
        <w:effect w:val="none"/>
      </w:rPr>
    </w:lvl>
    <w:lvl w:ilvl="6">
      <w:start w:val="1"/>
      <w:numFmt w:val="decimal"/>
      <w:pStyle w:val="Heading7"/>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C24"/>
    <w:rsid w:val="00497C24"/>
    <w:rsid w:val="009214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5113"/>
  <w15:chartTrackingRefBased/>
  <w15:docId w15:val="{139612FF-51AD-4303-B291-A79E90CE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C24"/>
    <w:pPr>
      <w:overflowPunct w:val="0"/>
      <w:autoSpaceDE w:val="0"/>
      <w:autoSpaceDN w:val="0"/>
      <w:adjustRightInd w:val="0"/>
      <w:spacing w:after="240" w:line="240" w:lineRule="auto"/>
      <w:jc w:val="both"/>
      <w:textAlignment w:val="baseline"/>
    </w:pPr>
    <w:rPr>
      <w:rFonts w:ascii="Arial" w:eastAsia="Times New Roman" w:hAnsi="Arial" w:cs="Times New Roman"/>
      <w:szCs w:val="20"/>
    </w:rPr>
  </w:style>
  <w:style w:type="paragraph" w:styleId="Heading1">
    <w:name w:val="heading 1"/>
    <w:aliases w:val="1st level,2,A MAJOR/BOLD,Attribute Heading 1,H1,Heading 1(Report Only),Heading.CAPS,MPS Standard Heading 1,Numbered - 1,PA Chapter,Paragraph,Roman 14 B Heading,Schedheading,Se,Section,Section Heading,h1,h1 chapter heading,ni1,numbered indent 1"/>
    <w:basedOn w:val="Normal"/>
    <w:link w:val="Heading1Char"/>
    <w:qFormat/>
    <w:rsid w:val="00497C24"/>
    <w:pPr>
      <w:numPr>
        <w:numId w:val="1"/>
      </w:numPr>
      <w:overflowPunct/>
      <w:autoSpaceDE/>
      <w:autoSpaceDN/>
      <w:textAlignment w:val="auto"/>
      <w:outlineLvl w:val="0"/>
    </w:pPr>
    <w:rPr>
      <w:rFonts w:eastAsia="STZhongsong"/>
      <w:b/>
      <w:kern w:val="28"/>
      <w:u w:val="single"/>
      <w:lang w:eastAsia="zh-CN"/>
    </w:rPr>
  </w:style>
  <w:style w:type="paragraph" w:styleId="Heading2">
    <w:name w:val="heading 2"/>
    <w:aliases w:val="1.1.1 heading,2m,B Sub/Bold,B Sub/Bold1,B Sub/Bold11,B Sub/Bold2,Body Text (Reset numbering),H2,KJL:1st Level,L2,Ma,Major heading,Numbered - 2,PARA2,Reset numbering,S Heading,S Heading 2,TF-Overskrit 2,h 2,h2,h2 main heading,h2 main heading1,m"/>
    <w:basedOn w:val="Normal"/>
    <w:link w:val="Heading2Char"/>
    <w:qFormat/>
    <w:rsid w:val="00497C24"/>
    <w:pPr>
      <w:numPr>
        <w:ilvl w:val="1"/>
        <w:numId w:val="1"/>
      </w:numPr>
      <w:overflowPunct/>
      <w:autoSpaceDE/>
      <w:autoSpaceDN/>
      <w:textAlignment w:val="auto"/>
      <w:outlineLvl w:val="1"/>
    </w:pPr>
    <w:rPr>
      <w:rFonts w:eastAsia="STZhongsong"/>
      <w:kern w:val="28"/>
      <w:lang w:eastAsia="zh-CN"/>
    </w:rPr>
  </w:style>
  <w:style w:type="paragraph" w:styleId="Heading3">
    <w:name w:val="heading 3"/>
    <w:aliases w:val="(Alt+3),3,H3,H31,H311,H32,H33,Level 1 - 1,Mia,Minor,Minor heading,Minor1,Para Heading 3,Para Heading 31,Underrubrik2,h3,h31,h310,h311,h3110,h3111,h312,h3121,h313,h314,h315,h316,h317,h318,h319,h32,h320,h321,h33,h331,h34,h35,h36,h37,h38,h39,ni3"/>
    <w:basedOn w:val="Normal"/>
    <w:link w:val="Heading3Char"/>
    <w:qFormat/>
    <w:rsid w:val="00497C24"/>
    <w:pPr>
      <w:numPr>
        <w:ilvl w:val="2"/>
        <w:numId w:val="1"/>
      </w:numPr>
      <w:overflowPunct/>
      <w:autoSpaceDE/>
      <w:autoSpaceDN/>
      <w:textAlignment w:val="auto"/>
      <w:outlineLvl w:val="2"/>
    </w:pPr>
    <w:rPr>
      <w:rFonts w:eastAsia="STZhongsong"/>
      <w:kern w:val="28"/>
      <w:lang w:eastAsia="zh-CN"/>
    </w:rPr>
  </w:style>
  <w:style w:type="paragraph" w:styleId="Heading4">
    <w:name w:val="heading 4"/>
    <w:aliases w:val="(i),14,D Sub-Sub/Plain,GPH Heading 4,H4,Level 2 - (a),Level 2 - a,MPS Standard Sub- Sub-Sub Heading,Numbered - 4,PA Micro Section,Project table,Propos,Schedules,Second Level Heading HM,Su,Sub-Minor,Subhead C,Te,dash,h4,h4 sub sub heading,l4,n"/>
    <w:basedOn w:val="Normal"/>
    <w:link w:val="Heading4Char"/>
    <w:qFormat/>
    <w:rsid w:val="00497C24"/>
    <w:pPr>
      <w:numPr>
        <w:ilvl w:val="3"/>
        <w:numId w:val="1"/>
      </w:numPr>
      <w:overflowPunct/>
      <w:autoSpaceDE/>
      <w:autoSpaceDN/>
      <w:textAlignment w:val="auto"/>
      <w:outlineLvl w:val="3"/>
    </w:pPr>
    <w:rPr>
      <w:rFonts w:eastAsia="STZhongsong"/>
      <w:kern w:val="28"/>
      <w:lang w:eastAsia="zh-CN"/>
    </w:rPr>
  </w:style>
  <w:style w:type="paragraph" w:styleId="Heading5">
    <w:name w:val="heading 5"/>
    <w:aliases w:val="Appendix A to X,H5,Heading,Heading 5   Appendix A to X,Heading 5(unused),Level 3 - (i),Response Type,Response Type1,Response Type2,Response Type3,Response Type4,Response Type5,Response Type6,Response Type7,Subheading,Third Level Heading,h5,l5"/>
    <w:basedOn w:val="Normal"/>
    <w:link w:val="Heading5Char"/>
    <w:qFormat/>
    <w:rsid w:val="00497C24"/>
    <w:pPr>
      <w:numPr>
        <w:ilvl w:val="4"/>
        <w:numId w:val="1"/>
      </w:numPr>
      <w:overflowPunct/>
      <w:autoSpaceDE/>
      <w:autoSpaceDN/>
      <w:textAlignment w:val="auto"/>
      <w:outlineLvl w:val="4"/>
    </w:pPr>
    <w:rPr>
      <w:rFonts w:eastAsia="STZhongsong"/>
      <w:kern w:val="28"/>
      <w:lang w:eastAsia="zh-CN"/>
    </w:rPr>
  </w:style>
  <w:style w:type="paragraph" w:styleId="Heading6">
    <w:name w:val="heading 6"/>
    <w:aliases w:val="Blank 2,Bullet list,H6,H6 DO NOT USE,H61,H610,H611,H612,H613,H614,H615,H616,H617,H618,H62,H63,H64,H65,H66,H67,H68,H69,Heading 6  Appendix Y &amp; Z,Heading 6 (Do Not Use),Heading 6(unused),L1 PIP,Legal Level 1.,Lev 6,PA Appendix,PR14,bullet2,h6"/>
    <w:basedOn w:val="Normal"/>
    <w:link w:val="Heading6Char"/>
    <w:qFormat/>
    <w:rsid w:val="00497C24"/>
    <w:pPr>
      <w:numPr>
        <w:ilvl w:val="5"/>
        <w:numId w:val="1"/>
      </w:numPr>
      <w:overflowPunct/>
      <w:autoSpaceDE/>
      <w:autoSpaceDN/>
      <w:textAlignment w:val="auto"/>
      <w:outlineLvl w:val="5"/>
    </w:pPr>
    <w:rPr>
      <w:rFonts w:eastAsia="STZhongsong"/>
      <w:kern w:val="28"/>
      <w:lang w:eastAsia="zh-CN"/>
    </w:rPr>
  </w:style>
  <w:style w:type="paragraph" w:styleId="Heading7">
    <w:name w:val="heading 7"/>
    <w:aliases w:val="Blank 3,H7DO NOT USE,Heading 7 (Do Not Use),Heading 7(unused),L2 PIP,Legal Level 1.1.,Lev 7,PA Appendix Major"/>
    <w:basedOn w:val="Normal"/>
    <w:link w:val="Heading7Char"/>
    <w:qFormat/>
    <w:rsid w:val="00497C24"/>
    <w:pPr>
      <w:numPr>
        <w:ilvl w:val="6"/>
        <w:numId w:val="1"/>
      </w:numPr>
      <w:overflowPunct/>
      <w:autoSpaceDE/>
      <w:autoSpaceDN/>
      <w:textAlignment w:val="auto"/>
      <w:outlineLvl w:val="6"/>
    </w:pPr>
    <w:rPr>
      <w:rFonts w:eastAsia="STZhongsong"/>
      <w:kern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st level Char,2 Char,A MAJOR/BOLD Char,Attribute Heading 1 Char,H1 Char,Heading 1(Report Only) Char,Heading.CAPS Char,MPS Standard Heading 1 Char,Numbered - 1 Char,PA Chapter Char,Paragraph Char,Roman 14 B Heading Char,Schedheading Char"/>
    <w:basedOn w:val="DefaultParagraphFont"/>
    <w:link w:val="Heading1"/>
    <w:rsid w:val="00497C24"/>
    <w:rPr>
      <w:rFonts w:ascii="Arial" w:eastAsia="STZhongsong" w:hAnsi="Arial" w:cs="Times New Roman"/>
      <w:b/>
      <w:kern w:val="28"/>
      <w:szCs w:val="20"/>
      <w:u w:val="single"/>
      <w:lang w:eastAsia="zh-CN"/>
    </w:rPr>
  </w:style>
  <w:style w:type="character" w:customStyle="1" w:styleId="Heading2Char">
    <w:name w:val="Heading 2 Char"/>
    <w:aliases w:val="1.1.1 heading Char,2m Char,B Sub/Bold Char,B Sub/Bold1 Char,B Sub/Bold11 Char,B Sub/Bold2 Char,Body Text (Reset numbering) Char,H2 Char,KJL:1st Level Char,L2 Char,Ma Char,Major heading Char,Numbered - 2 Char,PARA2 Char,S Heading Char"/>
    <w:basedOn w:val="DefaultParagraphFont"/>
    <w:link w:val="Heading2"/>
    <w:rsid w:val="00497C24"/>
    <w:rPr>
      <w:rFonts w:ascii="Arial" w:eastAsia="STZhongsong" w:hAnsi="Arial" w:cs="Times New Roman"/>
      <w:kern w:val="28"/>
      <w:szCs w:val="20"/>
      <w:lang w:eastAsia="zh-CN"/>
    </w:rPr>
  </w:style>
  <w:style w:type="character" w:customStyle="1" w:styleId="Heading3Char">
    <w:name w:val="Heading 3 Char"/>
    <w:basedOn w:val="DefaultParagraphFont"/>
    <w:link w:val="Heading3"/>
    <w:rsid w:val="00497C24"/>
    <w:rPr>
      <w:rFonts w:ascii="Arial" w:eastAsia="STZhongsong" w:hAnsi="Arial" w:cs="Times New Roman"/>
      <w:kern w:val="28"/>
      <w:szCs w:val="20"/>
      <w:lang w:eastAsia="zh-CN"/>
    </w:rPr>
  </w:style>
  <w:style w:type="character" w:customStyle="1" w:styleId="Heading4Char">
    <w:name w:val="Heading 4 Char"/>
    <w:basedOn w:val="DefaultParagraphFont"/>
    <w:link w:val="Heading4"/>
    <w:rsid w:val="00497C24"/>
    <w:rPr>
      <w:rFonts w:ascii="Arial" w:eastAsia="STZhongsong" w:hAnsi="Arial" w:cs="Times New Roman"/>
      <w:kern w:val="28"/>
      <w:szCs w:val="20"/>
      <w:lang w:eastAsia="zh-CN"/>
    </w:rPr>
  </w:style>
  <w:style w:type="character" w:customStyle="1" w:styleId="Heading5Char">
    <w:name w:val="Heading 5 Char"/>
    <w:basedOn w:val="DefaultParagraphFont"/>
    <w:link w:val="Heading5"/>
    <w:rsid w:val="00497C24"/>
    <w:rPr>
      <w:rFonts w:ascii="Arial" w:eastAsia="STZhongsong" w:hAnsi="Arial" w:cs="Times New Roman"/>
      <w:kern w:val="28"/>
      <w:szCs w:val="20"/>
      <w:lang w:eastAsia="zh-CN"/>
    </w:rPr>
  </w:style>
  <w:style w:type="character" w:customStyle="1" w:styleId="Heading6Char">
    <w:name w:val="Heading 6 Char"/>
    <w:basedOn w:val="DefaultParagraphFont"/>
    <w:link w:val="Heading6"/>
    <w:rsid w:val="00497C24"/>
    <w:rPr>
      <w:rFonts w:ascii="Arial" w:eastAsia="STZhongsong" w:hAnsi="Arial" w:cs="Times New Roman"/>
      <w:kern w:val="28"/>
      <w:szCs w:val="20"/>
      <w:lang w:eastAsia="zh-CN"/>
    </w:rPr>
  </w:style>
  <w:style w:type="character" w:customStyle="1" w:styleId="Heading7Char">
    <w:name w:val="Heading 7 Char"/>
    <w:basedOn w:val="DefaultParagraphFont"/>
    <w:link w:val="Heading7"/>
    <w:rsid w:val="00497C24"/>
    <w:rPr>
      <w:rFonts w:ascii="Arial" w:eastAsia="STZhongsong" w:hAnsi="Arial" w:cs="Times New Roman"/>
      <w:kern w:val="28"/>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18CB99E205E2449BC5A8966F0DB608" ma:contentTypeVersion="15" ma:contentTypeDescription="Create a new document." ma:contentTypeScope="" ma:versionID="e2e2c5fa4c3e18cbe984d0ed7a617555">
  <xsd:schema xmlns:xsd="http://www.w3.org/2001/XMLSchema" xmlns:xs="http://www.w3.org/2001/XMLSchema" xmlns:p="http://schemas.microsoft.com/office/2006/metadata/properties" xmlns:ns2="336973ca-a7ce-4df3-8092-f6429753cbe8" xmlns:ns3="36e70f23-7f29-450e-9061-f22fce1ddfe3" targetNamespace="http://schemas.microsoft.com/office/2006/metadata/properties" ma:root="true" ma:fieldsID="4b0d19548f50052da7837fb0998dcaef" ns2:_="" ns3:_="">
    <xsd:import namespace="336973ca-a7ce-4df3-8092-f6429753cbe8"/>
    <xsd:import namespace="36e70f23-7f29-450e-9061-f22fce1ddf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973ca-a7ce-4df3-8092-f6429753cb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91048f4-a3ca-4dbe-89ea-db3c8ee982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e70f23-7f29-450e-9061-f22fce1ddfe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f52a6f-d1ab-407e-8c77-16bc875cb5ea}" ma:internalName="TaxCatchAll" ma:showField="CatchAllData" ma:web="36e70f23-7f29-450e-9061-f22fce1ddf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e70f23-7f29-450e-9061-f22fce1ddfe3"/>
    <lcf76f155ced4ddcb4097134ff3c332f xmlns="336973ca-a7ce-4df3-8092-f6429753cb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3E04E9-512C-4E86-8993-1841655DA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973ca-a7ce-4df3-8092-f6429753cbe8"/>
    <ds:schemaRef ds:uri="36e70f23-7f29-450e-9061-f22fce1dd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1E282D-0B40-47A6-9B9A-6434D865AC6E}">
  <ds:schemaRefs>
    <ds:schemaRef ds:uri="http://schemas.microsoft.com/sharepoint/v3/contenttype/forms"/>
  </ds:schemaRefs>
</ds:datastoreItem>
</file>

<file path=customXml/itemProps3.xml><?xml version="1.0" encoding="utf-8"?>
<ds:datastoreItem xmlns:ds="http://schemas.openxmlformats.org/officeDocument/2006/customXml" ds:itemID="{1B83C0EB-EBFF-453F-8105-1ED6C789744C}">
  <ds:schemaRefs>
    <ds:schemaRef ds:uri="http://schemas.microsoft.com/office/2006/documentManagement/types"/>
    <ds:schemaRef ds:uri="http://purl.org/dc/elements/1.1/"/>
    <ds:schemaRef ds:uri="http://purl.org/dc/terms/"/>
    <ds:schemaRef ds:uri="http://schemas.openxmlformats.org/package/2006/metadata/core-properties"/>
    <ds:schemaRef ds:uri="http://purl.org/dc/dcmitype/"/>
    <ds:schemaRef ds:uri="http://schemas.microsoft.com/office/infopath/2007/PartnerControls"/>
    <ds:schemaRef ds:uri="36e70f23-7f29-450e-9061-f22fce1ddfe3"/>
    <ds:schemaRef ds:uri="336973ca-a7ce-4df3-8092-f6429753cbe8"/>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2022-09-14T14:46:00Z</dcterms:created>
  <dcterms:modified xsi:type="dcterms:W3CDTF">2022-09-14T14:48:00Z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0x0101005A18CB99E205E2449BC5A8966F0DB608</vt:lpwstr>
  </property>
</Properties>
</file>