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4CA8B" w14:textId="51CD9A29"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4BACC6"/>
          <w:sz w:val="30"/>
          <w:szCs w:val="30"/>
          <w:lang w:eastAsia="en-GB"/>
        </w:rPr>
        <w:t xml:space="preserve">School: </w:t>
      </w:r>
      <w:r w:rsidR="00191307">
        <w:rPr>
          <w:rFonts w:ascii="Calibri" w:eastAsia="Times New Roman" w:hAnsi="Calibri" w:cs="Calibri"/>
          <w:b/>
          <w:bCs/>
          <w:color w:val="4BACC6"/>
          <w:sz w:val="30"/>
          <w:szCs w:val="30"/>
          <w:lang w:eastAsia="en-GB"/>
        </w:rPr>
        <w:t>Balfour Primary School</w:t>
      </w:r>
      <w:r w:rsidRPr="003E5DF9">
        <w:rPr>
          <w:rFonts w:ascii="Calibri" w:eastAsia="Times New Roman" w:hAnsi="Calibri" w:cs="Calibri"/>
          <w:b/>
          <w:bCs/>
          <w:color w:val="4BACC6"/>
          <w:sz w:val="30"/>
          <w:szCs w:val="30"/>
          <w:lang w:eastAsia="en-GB"/>
        </w:rPr>
        <w:t>                      Date: </w:t>
      </w:r>
      <w:r w:rsidR="00191307">
        <w:rPr>
          <w:rFonts w:ascii="Calibri" w:eastAsia="Times New Roman" w:hAnsi="Calibri" w:cs="Calibri"/>
          <w:b/>
          <w:bCs/>
          <w:color w:val="4BACC6"/>
          <w:sz w:val="30"/>
          <w:szCs w:val="30"/>
          <w:lang w:eastAsia="en-GB"/>
        </w:rPr>
        <w:t>07/10/2022</w:t>
      </w:r>
    </w:p>
    <w:p w14:paraId="1C9B19EE" w14:textId="77777777"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 xml:space="preserve">Report: </w:t>
      </w:r>
      <w:r w:rsidRPr="003E5DF9">
        <w:rPr>
          <w:rFonts w:ascii="Calibri" w:eastAsia="Times New Roman" w:hAnsi="Calibri" w:cs="Calibri"/>
          <w:b/>
          <w:bCs/>
          <w:color w:val="000000"/>
          <w:sz w:val="30"/>
          <w:szCs w:val="30"/>
          <w:lang w:eastAsia="en-GB"/>
        </w:rPr>
        <w:t> </w:t>
      </w:r>
      <w:r w:rsidRPr="003E5DF9">
        <w:rPr>
          <w:rFonts w:ascii="Calibri" w:eastAsia="Times New Roman" w:hAnsi="Calibri" w:cs="Calibri"/>
          <w:color w:val="0591B4"/>
          <w:sz w:val="30"/>
          <w:szCs w:val="30"/>
          <w:lang w:eastAsia="en-GB"/>
        </w:rPr>
        <w:t> Remote consultation</w:t>
      </w:r>
      <w:r w:rsidRPr="003E5DF9">
        <w:rPr>
          <w:rFonts w:ascii="Calibri" w:eastAsia="Times New Roman" w:hAnsi="Calibri" w:cs="Calibri"/>
          <w:b/>
          <w:bCs/>
          <w:color w:val="000000"/>
          <w:sz w:val="30"/>
          <w:szCs w:val="30"/>
          <w:lang w:eastAsia="en-GB"/>
        </w:rPr>
        <w:t>                  </w:t>
      </w:r>
    </w:p>
    <w:p w14:paraId="053E745D" w14:textId="47A615FE"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DPE:</w:t>
      </w:r>
      <w:r w:rsidRPr="003E5DF9">
        <w:rPr>
          <w:rFonts w:ascii="Calibri" w:eastAsia="Times New Roman" w:hAnsi="Calibri" w:cs="Calibri"/>
          <w:color w:val="0591B4"/>
          <w:sz w:val="30"/>
          <w:szCs w:val="30"/>
          <w:lang w:eastAsia="en-GB"/>
        </w:rPr>
        <w:t xml:space="preserve">  </w:t>
      </w:r>
      <w:r w:rsidR="00191307">
        <w:rPr>
          <w:rFonts w:ascii="Calibri" w:eastAsia="Times New Roman" w:hAnsi="Calibri" w:cs="Calibri"/>
          <w:color w:val="0591B4"/>
          <w:sz w:val="30"/>
          <w:szCs w:val="30"/>
          <w:lang w:eastAsia="en-GB"/>
        </w:rPr>
        <w:t>Tammy Buchanan</w:t>
      </w:r>
      <w:r w:rsidRPr="003E5DF9">
        <w:rPr>
          <w:rFonts w:ascii="Calibri" w:eastAsia="Times New Roman" w:hAnsi="Calibri" w:cs="Calibri"/>
          <w:color w:val="0591B4"/>
          <w:sz w:val="30"/>
          <w:szCs w:val="30"/>
          <w:lang w:eastAsia="en-GB"/>
        </w:rPr>
        <w:t xml:space="preserve">                 </w:t>
      </w:r>
      <w:r w:rsidRPr="003E5DF9">
        <w:rPr>
          <w:rFonts w:ascii="Calibri" w:eastAsia="Times New Roman" w:hAnsi="Calibri" w:cs="Calibri"/>
          <w:b/>
          <w:bCs/>
          <w:color w:val="0591B4"/>
          <w:sz w:val="30"/>
          <w:szCs w:val="30"/>
          <w:lang w:eastAsia="en-GB"/>
        </w:rPr>
        <w:t> Staff member:</w:t>
      </w:r>
      <w:r w:rsidR="00191307">
        <w:rPr>
          <w:rFonts w:ascii="Calibri" w:eastAsia="Times New Roman" w:hAnsi="Calibri" w:cs="Calibri"/>
          <w:b/>
          <w:bCs/>
          <w:color w:val="0591B4"/>
          <w:sz w:val="30"/>
          <w:szCs w:val="30"/>
          <w:lang w:eastAsia="en-GB"/>
        </w:rPr>
        <w:t xml:space="preserve"> Lisa </w:t>
      </w:r>
      <w:proofErr w:type="spellStart"/>
      <w:r w:rsidR="00191307">
        <w:rPr>
          <w:rFonts w:ascii="Calibri" w:eastAsia="Times New Roman" w:hAnsi="Calibri" w:cs="Calibri"/>
          <w:b/>
          <w:bCs/>
          <w:color w:val="0591B4"/>
          <w:sz w:val="30"/>
          <w:szCs w:val="30"/>
          <w:lang w:eastAsia="en-GB"/>
        </w:rPr>
        <w:t>Collington</w:t>
      </w:r>
      <w:proofErr w:type="spellEnd"/>
    </w:p>
    <w:sdt>
      <w:sdtPr>
        <w:rPr>
          <w:rFonts w:asciiTheme="minorHAnsi" w:eastAsiaTheme="minorHAnsi" w:hAnsiTheme="minorHAnsi" w:cstheme="minorBidi"/>
          <w:color w:val="auto"/>
          <w:sz w:val="22"/>
          <w:szCs w:val="22"/>
          <w:lang w:eastAsia="en-US"/>
        </w:rPr>
        <w:id w:val="2046086999"/>
        <w:docPartObj>
          <w:docPartGallery w:val="Table of Contents"/>
          <w:docPartUnique/>
        </w:docPartObj>
      </w:sdtPr>
      <w:sdtEndPr>
        <w:rPr>
          <w:b/>
          <w:bCs/>
        </w:rPr>
      </w:sdtEndPr>
      <w:sdtContent>
        <w:p w14:paraId="730622A4" w14:textId="2608DC5A" w:rsidR="00A71368" w:rsidRDefault="00A71368">
          <w:pPr>
            <w:pStyle w:val="TOCHeading"/>
          </w:pPr>
          <w:r>
            <w:t>Contents</w:t>
          </w:r>
        </w:p>
        <w:p w14:paraId="24EF49E7" w14:textId="2D9C1D32" w:rsidR="00DF7DE7" w:rsidRDefault="00A7136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6034475" w:history="1">
            <w:r w:rsidR="00DF7DE7" w:rsidRPr="00424A4D">
              <w:rPr>
                <w:rStyle w:val="Hyperlink"/>
                <w:rFonts w:eastAsia="Times New Roman"/>
                <w:noProof/>
                <w:shd w:val="clear" w:color="auto" w:fill="FFFFFF"/>
                <w:lang w:eastAsia="en-GB"/>
              </w:rPr>
              <w:t>Where are you at (review of status)? How we can support you</w:t>
            </w:r>
            <w:r w:rsidR="00DF7DE7">
              <w:rPr>
                <w:noProof/>
                <w:webHidden/>
              </w:rPr>
              <w:tab/>
            </w:r>
            <w:r w:rsidR="00DF7DE7">
              <w:rPr>
                <w:noProof/>
                <w:webHidden/>
              </w:rPr>
              <w:fldChar w:fldCharType="begin"/>
            </w:r>
            <w:r w:rsidR="00DF7DE7">
              <w:rPr>
                <w:noProof/>
                <w:webHidden/>
              </w:rPr>
              <w:instrText xml:space="preserve"> PAGEREF _Toc116034475 \h </w:instrText>
            </w:r>
            <w:r w:rsidR="00DF7DE7">
              <w:rPr>
                <w:noProof/>
                <w:webHidden/>
              </w:rPr>
            </w:r>
            <w:r w:rsidR="00DF7DE7">
              <w:rPr>
                <w:noProof/>
                <w:webHidden/>
              </w:rPr>
              <w:fldChar w:fldCharType="separate"/>
            </w:r>
            <w:r w:rsidR="00DF7DE7">
              <w:rPr>
                <w:noProof/>
                <w:webHidden/>
              </w:rPr>
              <w:t>1</w:t>
            </w:r>
            <w:r w:rsidR="00DF7DE7">
              <w:rPr>
                <w:noProof/>
                <w:webHidden/>
              </w:rPr>
              <w:fldChar w:fldCharType="end"/>
            </w:r>
          </w:hyperlink>
        </w:p>
        <w:p w14:paraId="0AF2F08C" w14:textId="448C86B0" w:rsidR="00DF7DE7" w:rsidRDefault="00DF7DE7">
          <w:pPr>
            <w:pStyle w:val="TOC1"/>
            <w:tabs>
              <w:tab w:val="right" w:leader="dot" w:pos="9016"/>
            </w:tabs>
            <w:rPr>
              <w:rFonts w:eastAsiaTheme="minorEastAsia"/>
              <w:noProof/>
              <w:lang w:eastAsia="en-GB"/>
            </w:rPr>
          </w:pPr>
          <w:hyperlink w:anchor="_Toc116034476" w:history="1">
            <w:r w:rsidRPr="00424A4D">
              <w:rPr>
                <w:rStyle w:val="Hyperlink"/>
                <w:rFonts w:eastAsia="Times New Roman"/>
                <w:noProof/>
                <w:shd w:val="clear" w:color="auto" w:fill="FFFFFF"/>
                <w:lang w:eastAsia="en-GB"/>
              </w:rPr>
              <w:t>Staff changes – housekeeping</w:t>
            </w:r>
            <w:r>
              <w:rPr>
                <w:noProof/>
                <w:webHidden/>
              </w:rPr>
              <w:tab/>
            </w:r>
            <w:r>
              <w:rPr>
                <w:noProof/>
                <w:webHidden/>
              </w:rPr>
              <w:fldChar w:fldCharType="begin"/>
            </w:r>
            <w:r>
              <w:rPr>
                <w:noProof/>
                <w:webHidden/>
              </w:rPr>
              <w:instrText xml:space="preserve"> PAGEREF _Toc116034476 \h </w:instrText>
            </w:r>
            <w:r>
              <w:rPr>
                <w:noProof/>
                <w:webHidden/>
              </w:rPr>
            </w:r>
            <w:r>
              <w:rPr>
                <w:noProof/>
                <w:webHidden/>
              </w:rPr>
              <w:fldChar w:fldCharType="separate"/>
            </w:r>
            <w:r>
              <w:rPr>
                <w:noProof/>
                <w:webHidden/>
              </w:rPr>
              <w:t>2</w:t>
            </w:r>
            <w:r>
              <w:rPr>
                <w:noProof/>
                <w:webHidden/>
              </w:rPr>
              <w:fldChar w:fldCharType="end"/>
            </w:r>
          </w:hyperlink>
        </w:p>
        <w:p w14:paraId="2502E53B" w14:textId="55E06C0C" w:rsidR="00DF7DE7" w:rsidRDefault="00DF7DE7">
          <w:pPr>
            <w:pStyle w:val="TOC1"/>
            <w:tabs>
              <w:tab w:val="right" w:leader="dot" w:pos="9016"/>
            </w:tabs>
            <w:rPr>
              <w:rFonts w:eastAsiaTheme="minorEastAsia"/>
              <w:noProof/>
              <w:lang w:eastAsia="en-GB"/>
            </w:rPr>
          </w:pPr>
          <w:hyperlink w:anchor="_Toc116034477" w:history="1">
            <w:r w:rsidRPr="00424A4D">
              <w:rPr>
                <w:rStyle w:val="Hyperlink"/>
                <w:rFonts w:eastAsia="Times New Roman"/>
                <w:noProof/>
                <w:shd w:val="clear" w:color="auto" w:fill="FFFFFF"/>
                <w:lang w:eastAsia="en-GB"/>
              </w:rPr>
              <w:t>KB updates</w:t>
            </w:r>
            <w:r>
              <w:rPr>
                <w:noProof/>
                <w:webHidden/>
              </w:rPr>
              <w:tab/>
            </w:r>
            <w:r>
              <w:rPr>
                <w:noProof/>
                <w:webHidden/>
              </w:rPr>
              <w:fldChar w:fldCharType="begin"/>
            </w:r>
            <w:r>
              <w:rPr>
                <w:noProof/>
                <w:webHidden/>
              </w:rPr>
              <w:instrText xml:space="preserve"> PAGEREF _Toc116034477 \h </w:instrText>
            </w:r>
            <w:r>
              <w:rPr>
                <w:noProof/>
                <w:webHidden/>
              </w:rPr>
            </w:r>
            <w:r>
              <w:rPr>
                <w:noProof/>
                <w:webHidden/>
              </w:rPr>
              <w:fldChar w:fldCharType="separate"/>
            </w:r>
            <w:r>
              <w:rPr>
                <w:noProof/>
                <w:webHidden/>
              </w:rPr>
              <w:t>2</w:t>
            </w:r>
            <w:r>
              <w:rPr>
                <w:noProof/>
                <w:webHidden/>
              </w:rPr>
              <w:fldChar w:fldCharType="end"/>
            </w:r>
          </w:hyperlink>
        </w:p>
        <w:p w14:paraId="7B20CF03" w14:textId="1232FE74" w:rsidR="00DF7DE7" w:rsidRDefault="00DF7DE7">
          <w:pPr>
            <w:pStyle w:val="TOC1"/>
            <w:tabs>
              <w:tab w:val="right" w:leader="dot" w:pos="9016"/>
            </w:tabs>
            <w:rPr>
              <w:rFonts w:eastAsiaTheme="minorEastAsia"/>
              <w:noProof/>
              <w:lang w:eastAsia="en-GB"/>
            </w:rPr>
          </w:pPr>
          <w:hyperlink w:anchor="_Toc116034478" w:history="1">
            <w:r w:rsidRPr="00424A4D">
              <w:rPr>
                <w:rStyle w:val="Hyperlink"/>
                <w:rFonts w:eastAsia="Times New Roman"/>
                <w:noProof/>
                <w:shd w:val="clear" w:color="auto" w:fill="FFFFFF"/>
                <w:lang w:eastAsia="en-GB"/>
              </w:rPr>
              <w:t>UK data protection and digital information bill</w:t>
            </w:r>
            <w:r>
              <w:rPr>
                <w:noProof/>
                <w:webHidden/>
              </w:rPr>
              <w:tab/>
            </w:r>
            <w:r>
              <w:rPr>
                <w:noProof/>
                <w:webHidden/>
              </w:rPr>
              <w:fldChar w:fldCharType="begin"/>
            </w:r>
            <w:r>
              <w:rPr>
                <w:noProof/>
                <w:webHidden/>
              </w:rPr>
              <w:instrText xml:space="preserve"> PAGEREF _Toc116034478 \h </w:instrText>
            </w:r>
            <w:r>
              <w:rPr>
                <w:noProof/>
                <w:webHidden/>
              </w:rPr>
            </w:r>
            <w:r>
              <w:rPr>
                <w:noProof/>
                <w:webHidden/>
              </w:rPr>
              <w:fldChar w:fldCharType="separate"/>
            </w:r>
            <w:r>
              <w:rPr>
                <w:noProof/>
                <w:webHidden/>
              </w:rPr>
              <w:t>2</w:t>
            </w:r>
            <w:r>
              <w:rPr>
                <w:noProof/>
                <w:webHidden/>
              </w:rPr>
              <w:fldChar w:fldCharType="end"/>
            </w:r>
          </w:hyperlink>
        </w:p>
        <w:p w14:paraId="34B2AA57" w14:textId="268616E0" w:rsidR="00DF7DE7" w:rsidRDefault="00DF7DE7">
          <w:pPr>
            <w:pStyle w:val="TOC1"/>
            <w:tabs>
              <w:tab w:val="right" w:leader="dot" w:pos="9016"/>
            </w:tabs>
            <w:rPr>
              <w:rFonts w:eastAsiaTheme="minorEastAsia"/>
              <w:noProof/>
              <w:lang w:eastAsia="en-GB"/>
            </w:rPr>
          </w:pPr>
          <w:hyperlink w:anchor="_Toc116034479" w:history="1">
            <w:r w:rsidRPr="00424A4D">
              <w:rPr>
                <w:rStyle w:val="Hyperlink"/>
                <w:noProof/>
              </w:rPr>
              <w:t>Record of Processing and supplier due diligence</w:t>
            </w:r>
            <w:r>
              <w:rPr>
                <w:noProof/>
                <w:webHidden/>
              </w:rPr>
              <w:tab/>
            </w:r>
            <w:r>
              <w:rPr>
                <w:noProof/>
                <w:webHidden/>
              </w:rPr>
              <w:fldChar w:fldCharType="begin"/>
            </w:r>
            <w:r>
              <w:rPr>
                <w:noProof/>
                <w:webHidden/>
              </w:rPr>
              <w:instrText xml:space="preserve"> PAGEREF _Toc116034479 \h </w:instrText>
            </w:r>
            <w:r>
              <w:rPr>
                <w:noProof/>
                <w:webHidden/>
              </w:rPr>
            </w:r>
            <w:r>
              <w:rPr>
                <w:noProof/>
                <w:webHidden/>
              </w:rPr>
              <w:fldChar w:fldCharType="separate"/>
            </w:r>
            <w:r>
              <w:rPr>
                <w:noProof/>
                <w:webHidden/>
              </w:rPr>
              <w:t>2</w:t>
            </w:r>
            <w:r>
              <w:rPr>
                <w:noProof/>
                <w:webHidden/>
              </w:rPr>
              <w:fldChar w:fldCharType="end"/>
            </w:r>
          </w:hyperlink>
        </w:p>
        <w:p w14:paraId="453D9602" w14:textId="5E116702" w:rsidR="00DF7DE7" w:rsidRDefault="00DF7DE7">
          <w:pPr>
            <w:pStyle w:val="TOC1"/>
            <w:tabs>
              <w:tab w:val="right" w:leader="dot" w:pos="9016"/>
            </w:tabs>
            <w:rPr>
              <w:rFonts w:eastAsiaTheme="minorEastAsia"/>
              <w:noProof/>
              <w:lang w:eastAsia="en-GB"/>
            </w:rPr>
          </w:pPr>
          <w:hyperlink w:anchor="_Toc116034480" w:history="1">
            <w:r w:rsidRPr="00424A4D">
              <w:rPr>
                <w:rStyle w:val="Hyperlink"/>
                <w:rFonts w:eastAsia="Times New Roman"/>
                <w:noProof/>
                <w:lang w:eastAsia="en-GB"/>
              </w:rPr>
              <w:t>Data retention</w:t>
            </w:r>
            <w:r>
              <w:rPr>
                <w:noProof/>
                <w:webHidden/>
              </w:rPr>
              <w:tab/>
            </w:r>
            <w:r>
              <w:rPr>
                <w:noProof/>
                <w:webHidden/>
              </w:rPr>
              <w:fldChar w:fldCharType="begin"/>
            </w:r>
            <w:r>
              <w:rPr>
                <w:noProof/>
                <w:webHidden/>
              </w:rPr>
              <w:instrText xml:space="preserve"> PAGEREF _Toc116034480 \h </w:instrText>
            </w:r>
            <w:r>
              <w:rPr>
                <w:noProof/>
                <w:webHidden/>
              </w:rPr>
            </w:r>
            <w:r>
              <w:rPr>
                <w:noProof/>
                <w:webHidden/>
              </w:rPr>
              <w:fldChar w:fldCharType="separate"/>
            </w:r>
            <w:r>
              <w:rPr>
                <w:noProof/>
                <w:webHidden/>
              </w:rPr>
              <w:t>3</w:t>
            </w:r>
            <w:r>
              <w:rPr>
                <w:noProof/>
                <w:webHidden/>
              </w:rPr>
              <w:fldChar w:fldCharType="end"/>
            </w:r>
          </w:hyperlink>
        </w:p>
        <w:p w14:paraId="66B0B2BA" w14:textId="62F29D93" w:rsidR="00DF7DE7" w:rsidRDefault="00DF7DE7">
          <w:pPr>
            <w:pStyle w:val="TOC1"/>
            <w:tabs>
              <w:tab w:val="right" w:leader="dot" w:pos="9016"/>
            </w:tabs>
            <w:rPr>
              <w:rFonts w:eastAsiaTheme="minorEastAsia"/>
              <w:noProof/>
              <w:lang w:eastAsia="en-GB"/>
            </w:rPr>
          </w:pPr>
          <w:hyperlink w:anchor="_Toc116034481" w:history="1">
            <w:r w:rsidRPr="00424A4D">
              <w:rPr>
                <w:rStyle w:val="Hyperlink"/>
                <w:rFonts w:eastAsia="Times New Roman"/>
                <w:noProof/>
                <w:lang w:eastAsia="en-GB"/>
              </w:rPr>
              <w:t>Staff training and raising staff awareness</w:t>
            </w:r>
            <w:r>
              <w:rPr>
                <w:noProof/>
                <w:webHidden/>
              </w:rPr>
              <w:tab/>
            </w:r>
            <w:r>
              <w:rPr>
                <w:noProof/>
                <w:webHidden/>
              </w:rPr>
              <w:fldChar w:fldCharType="begin"/>
            </w:r>
            <w:r>
              <w:rPr>
                <w:noProof/>
                <w:webHidden/>
              </w:rPr>
              <w:instrText xml:space="preserve"> PAGEREF _Toc116034481 \h </w:instrText>
            </w:r>
            <w:r>
              <w:rPr>
                <w:noProof/>
                <w:webHidden/>
              </w:rPr>
            </w:r>
            <w:r>
              <w:rPr>
                <w:noProof/>
                <w:webHidden/>
              </w:rPr>
              <w:fldChar w:fldCharType="separate"/>
            </w:r>
            <w:r>
              <w:rPr>
                <w:noProof/>
                <w:webHidden/>
              </w:rPr>
              <w:t>4</w:t>
            </w:r>
            <w:r>
              <w:rPr>
                <w:noProof/>
                <w:webHidden/>
              </w:rPr>
              <w:fldChar w:fldCharType="end"/>
            </w:r>
          </w:hyperlink>
        </w:p>
        <w:p w14:paraId="4D6BD25B" w14:textId="23C567E8" w:rsidR="00A71368" w:rsidRDefault="00A71368">
          <w:r>
            <w:rPr>
              <w:b/>
              <w:bCs/>
            </w:rPr>
            <w:fldChar w:fldCharType="end"/>
          </w:r>
        </w:p>
      </w:sdtContent>
    </w:sdt>
    <w:p w14:paraId="4802D067"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2F01D73C"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24"/>
          <w:szCs w:val="24"/>
          <w:lang w:eastAsia="en-GB"/>
        </w:rPr>
        <w:t>Agenda </w:t>
      </w:r>
    </w:p>
    <w:p w14:paraId="74AAEE23" w14:textId="77777777" w:rsidR="003E5DF9" w:rsidRPr="003E5DF9" w:rsidRDefault="003E5DF9" w:rsidP="003E5DF9">
      <w:pPr>
        <w:shd w:val="clear" w:color="auto" w:fill="FFFFFF"/>
        <w:spacing w:after="0" w:line="240" w:lineRule="auto"/>
        <w:ind w:left="720"/>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Introductions</w:t>
      </w:r>
    </w:p>
    <w:p w14:paraId="5C7EB0A5"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Where are you at (review of status)? How we can support you</w:t>
      </w:r>
    </w:p>
    <w:p w14:paraId="034B9492"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changes - housekeeping</w:t>
      </w:r>
    </w:p>
    <w:p w14:paraId="058F445D"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DPE KB updates (to do lists, making the rounds accountability tracker,  latest news etc)</w:t>
      </w:r>
    </w:p>
    <w:p w14:paraId="643E546A"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 UK data protection and digital information bill - what is it?</w:t>
      </w:r>
    </w:p>
    <w:p w14:paraId="463952EB"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Information security</w:t>
      </w:r>
    </w:p>
    <w:p w14:paraId="202EEBEC"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Record of Processing and supplier due diligence - what’s next with any new legislation changes </w:t>
      </w:r>
    </w:p>
    <w:p w14:paraId="431D7B73"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Data retention (IRMS)</w:t>
      </w:r>
    </w:p>
    <w:p w14:paraId="5D15C5E4"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training and raising staff awareness</w:t>
      </w:r>
    </w:p>
    <w:p w14:paraId="275590E0" w14:textId="7A73E203"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Confirm future appointments</w:t>
      </w:r>
      <w:r w:rsidR="00692F3A">
        <w:rPr>
          <w:rFonts w:ascii="Calibri" w:eastAsia="Times New Roman" w:hAnsi="Calibri" w:cs="Calibri"/>
          <w:color w:val="000000"/>
          <w:sz w:val="24"/>
          <w:szCs w:val="24"/>
          <w:lang w:eastAsia="en-GB"/>
        </w:rPr>
        <w:t xml:space="preserve"> – next appointment : Friday December 9</w:t>
      </w:r>
      <w:r w:rsidR="00692F3A" w:rsidRPr="00692F3A">
        <w:rPr>
          <w:rFonts w:ascii="Calibri" w:eastAsia="Times New Roman" w:hAnsi="Calibri" w:cs="Calibri"/>
          <w:color w:val="000000"/>
          <w:sz w:val="24"/>
          <w:szCs w:val="24"/>
          <w:vertAlign w:val="superscript"/>
          <w:lang w:eastAsia="en-GB"/>
        </w:rPr>
        <w:t>th</w:t>
      </w:r>
      <w:r w:rsidR="00692F3A">
        <w:rPr>
          <w:rFonts w:ascii="Calibri" w:eastAsia="Times New Roman" w:hAnsi="Calibri" w:cs="Calibri"/>
          <w:color w:val="000000"/>
          <w:sz w:val="24"/>
          <w:szCs w:val="24"/>
          <w:lang w:eastAsia="en-GB"/>
        </w:rPr>
        <w:t xml:space="preserve"> 10am</w:t>
      </w:r>
    </w:p>
    <w:p w14:paraId="18A39B1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t> </w:t>
      </w:r>
    </w:p>
    <w:p w14:paraId="5780D622" w14:textId="77777777" w:rsidR="003E5DF9" w:rsidRPr="003E5DF9" w:rsidRDefault="003E5DF9" w:rsidP="00A71368">
      <w:pPr>
        <w:pStyle w:val="Heading1"/>
        <w:rPr>
          <w:rFonts w:eastAsia="Times New Roman"/>
          <w:lang w:eastAsia="en-GB"/>
        </w:rPr>
      </w:pPr>
      <w:bookmarkStart w:id="0" w:name="_Toc116034475"/>
      <w:r w:rsidRPr="003E5DF9">
        <w:rPr>
          <w:rFonts w:eastAsia="Times New Roman"/>
          <w:shd w:val="clear" w:color="auto" w:fill="FFFFFF"/>
          <w:lang w:eastAsia="en-GB"/>
        </w:rPr>
        <w:t>Where are you at (review of status)? How we can support you</w:t>
      </w:r>
      <w:bookmarkEnd w:id="0"/>
    </w:p>
    <w:p w14:paraId="04A3B2F8" w14:textId="1F8A7ACF" w:rsidR="003E5DF9" w:rsidRDefault="00191307" w:rsidP="003E5DF9">
      <w:pPr>
        <w:spacing w:after="0" w:line="240" w:lineRule="auto"/>
        <w:rPr>
          <w:rFonts w:eastAsia="Times New Roman" w:cstheme="minorHAnsi"/>
          <w:sz w:val="24"/>
          <w:szCs w:val="24"/>
          <w:lang w:eastAsia="en-GB"/>
        </w:rPr>
      </w:pPr>
      <w:r>
        <w:rPr>
          <w:rFonts w:eastAsia="Times New Roman" w:cstheme="minorHAnsi"/>
          <w:sz w:val="24"/>
          <w:szCs w:val="24"/>
          <w:lang w:eastAsia="en-GB"/>
        </w:rPr>
        <w:t>We had a look at the Privacy Policy and the Data Protection Policy on the website, note:  The Data Protection Policy had a review data of May 2021.</w:t>
      </w:r>
    </w:p>
    <w:p w14:paraId="1E962221" w14:textId="7CF970DF" w:rsidR="00191307" w:rsidRDefault="00191307" w:rsidP="003E5DF9">
      <w:pPr>
        <w:spacing w:after="0" w:line="240" w:lineRule="auto"/>
        <w:rPr>
          <w:rFonts w:eastAsia="Times New Roman" w:cstheme="minorHAnsi"/>
          <w:sz w:val="24"/>
          <w:szCs w:val="24"/>
          <w:lang w:eastAsia="en-GB"/>
        </w:rPr>
      </w:pPr>
      <w:r>
        <w:rPr>
          <w:rFonts w:eastAsia="Times New Roman" w:cstheme="minorHAnsi"/>
          <w:sz w:val="24"/>
          <w:szCs w:val="24"/>
          <w:lang w:eastAsia="en-GB"/>
        </w:rPr>
        <w:t>Here is some additional information relating to policies, although we agreed that we would discuss policies further at a later meeting.</w:t>
      </w:r>
    </w:p>
    <w:p w14:paraId="086C20D6" w14:textId="77777777" w:rsidR="00191307" w:rsidRPr="00191307" w:rsidRDefault="00191307" w:rsidP="003E5DF9">
      <w:pPr>
        <w:spacing w:after="0" w:line="240" w:lineRule="auto"/>
        <w:rPr>
          <w:rFonts w:eastAsia="Times New Roman" w:cstheme="minorHAnsi"/>
          <w:sz w:val="24"/>
          <w:szCs w:val="24"/>
          <w:lang w:eastAsia="en-GB"/>
        </w:rPr>
      </w:pPr>
    </w:p>
    <w:p w14:paraId="171574B1"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2D2A5E4D"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4D708C0F"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lastRenderedPageBreak/>
        <w:t>Website documents:</w:t>
      </w:r>
    </w:p>
    <w:p w14:paraId="71B9FE5A"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GDPR/data protection policy</w:t>
      </w:r>
    </w:p>
    <w:p w14:paraId="075FB9E9"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Privacy notice(s)</w:t>
      </w:r>
    </w:p>
    <w:p w14:paraId="7E6BD2D1"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SAR and data breach procedure</w:t>
      </w:r>
    </w:p>
    <w:p w14:paraId="09839E74"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FOI and publication scheme</w:t>
      </w:r>
    </w:p>
    <w:p w14:paraId="19628BCE"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Supplier/third party list</w:t>
      </w:r>
    </w:p>
    <w:p w14:paraId="749A1222"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55B69A50"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Other useful documents to review and check that you have are:</w:t>
      </w:r>
    </w:p>
    <w:p w14:paraId="594AC18F"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Work away from school policy </w:t>
      </w:r>
    </w:p>
    <w:p w14:paraId="23F06444" w14:textId="77777777" w:rsidR="003E5DF9" w:rsidRPr="003E5DF9" w:rsidRDefault="003E5DF9" w:rsidP="003E5DF9">
      <w:pPr>
        <w:numPr>
          <w:ilvl w:val="0"/>
          <w:numId w:val="4"/>
        </w:numPr>
        <w:spacing w:after="0" w:line="240" w:lineRule="auto"/>
        <w:jc w:val="both"/>
        <w:textAlignment w:val="baseline"/>
        <w:rPr>
          <w:rFonts w:ascii="Arial" w:eastAsia="Times New Roman" w:hAnsi="Arial" w:cs="Arial"/>
          <w:color w:val="000000"/>
          <w:sz w:val="24"/>
          <w:szCs w:val="24"/>
          <w:lang w:eastAsia="en-GB"/>
        </w:rPr>
      </w:pPr>
      <w:r w:rsidRPr="003E5DF9">
        <w:rPr>
          <w:rFonts w:ascii="Calibri" w:eastAsia="Times New Roman" w:hAnsi="Calibri" w:cs="Calibri"/>
          <w:color w:val="000000"/>
          <w:sz w:val="24"/>
          <w:szCs w:val="24"/>
          <w:lang w:eastAsia="en-GB"/>
        </w:rPr>
        <w:t>Information Security/Passwords </w:t>
      </w:r>
    </w:p>
    <w:p w14:paraId="58434BF5"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Review of consent documentation. Consent guidance and consent withdrawal can also be added to the GDPR section of the school website</w:t>
      </w:r>
    </w:p>
    <w:p w14:paraId="28C5EC3E"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br/>
      </w:r>
    </w:p>
    <w:p w14:paraId="4C04D220" w14:textId="381D19CC" w:rsidR="003E5DF9" w:rsidRDefault="003E5DF9" w:rsidP="00A71368">
      <w:pPr>
        <w:pStyle w:val="Heading1"/>
        <w:rPr>
          <w:rFonts w:eastAsia="Times New Roman"/>
          <w:shd w:val="clear" w:color="auto" w:fill="FFFFFF"/>
          <w:lang w:eastAsia="en-GB"/>
        </w:rPr>
      </w:pPr>
      <w:bookmarkStart w:id="1" w:name="_Toc116034476"/>
      <w:r w:rsidRPr="003E5DF9">
        <w:rPr>
          <w:rFonts w:eastAsia="Times New Roman"/>
          <w:shd w:val="clear" w:color="auto" w:fill="FFFFFF"/>
          <w:lang w:eastAsia="en-GB"/>
        </w:rPr>
        <w:t>Staff changes – housekeeping</w:t>
      </w:r>
      <w:bookmarkEnd w:id="1"/>
    </w:p>
    <w:p w14:paraId="4F737FE6" w14:textId="1A72FD96" w:rsidR="00191307" w:rsidRPr="00191307" w:rsidRDefault="00191307" w:rsidP="00191307">
      <w:pPr>
        <w:rPr>
          <w:sz w:val="24"/>
          <w:szCs w:val="24"/>
          <w:lang w:eastAsia="en-GB"/>
        </w:rPr>
      </w:pPr>
      <w:r>
        <w:rPr>
          <w:sz w:val="24"/>
          <w:szCs w:val="24"/>
          <w:lang w:eastAsia="en-GB"/>
        </w:rPr>
        <w:t xml:space="preserve">We discussed that staff do their GDPR training on another training platform used by Balfour Primary so there is no need to add staff onto the </w:t>
      </w:r>
      <w:proofErr w:type="spellStart"/>
      <w:r>
        <w:rPr>
          <w:sz w:val="24"/>
          <w:szCs w:val="24"/>
          <w:lang w:eastAsia="en-GB"/>
        </w:rPr>
        <w:t>Knowledgebank</w:t>
      </w:r>
      <w:proofErr w:type="spellEnd"/>
      <w:r>
        <w:rPr>
          <w:sz w:val="24"/>
          <w:szCs w:val="24"/>
          <w:lang w:eastAsia="en-GB"/>
        </w:rPr>
        <w:t xml:space="preserve">.  All staff know the </w:t>
      </w:r>
      <w:hyperlink r:id="rId5" w:history="1">
        <w:r w:rsidRPr="00F54A9B">
          <w:rPr>
            <w:rStyle w:val="Hyperlink"/>
            <w:sz w:val="24"/>
            <w:szCs w:val="24"/>
            <w:lang w:eastAsia="en-GB"/>
          </w:rPr>
          <w:t>dpo@dataprotection.education</w:t>
        </w:r>
      </w:hyperlink>
      <w:r>
        <w:rPr>
          <w:sz w:val="24"/>
          <w:szCs w:val="24"/>
          <w:lang w:eastAsia="en-GB"/>
        </w:rPr>
        <w:t xml:space="preserve"> email address.  However, should you wish to add staff, the instructions are below:</w:t>
      </w:r>
    </w:p>
    <w:p w14:paraId="6FFDFA07"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xml:space="preserve">Reminder to </w:t>
      </w:r>
      <w:r w:rsidRPr="003E5DF9">
        <w:rPr>
          <w:rFonts w:ascii="Calibri" w:eastAsia="Times New Roman" w:hAnsi="Calibri" w:cs="Calibri"/>
          <w:b/>
          <w:bCs/>
          <w:color w:val="000000"/>
          <w:sz w:val="24"/>
          <w:szCs w:val="24"/>
          <w:lang w:eastAsia="en-GB"/>
        </w:rPr>
        <w:t xml:space="preserve">set new staff </w:t>
      </w:r>
      <w:r w:rsidRPr="003E5DF9">
        <w:rPr>
          <w:rFonts w:ascii="Calibri" w:eastAsia="Times New Roman" w:hAnsi="Calibri" w:cs="Calibri"/>
          <w:color w:val="000000"/>
          <w:sz w:val="24"/>
          <w:szCs w:val="24"/>
          <w:lang w:eastAsia="en-GB"/>
        </w:rPr>
        <w:t xml:space="preserve">up on the DPE website and </w:t>
      </w:r>
      <w:r w:rsidRPr="003E5DF9">
        <w:rPr>
          <w:rFonts w:ascii="Calibri" w:eastAsia="Times New Roman" w:hAnsi="Calibri" w:cs="Calibri"/>
          <w:b/>
          <w:bCs/>
          <w:color w:val="000000"/>
          <w:sz w:val="24"/>
          <w:szCs w:val="24"/>
          <w:lang w:eastAsia="en-GB"/>
        </w:rPr>
        <w:t>remove leavers</w:t>
      </w:r>
      <w:r w:rsidRPr="003E5DF9">
        <w:rPr>
          <w:rFonts w:ascii="Calibri" w:eastAsia="Times New Roman" w:hAnsi="Calibri" w:cs="Calibri"/>
          <w:color w:val="000000"/>
          <w:sz w:val="24"/>
          <w:szCs w:val="24"/>
          <w:lang w:eastAsia="en-GB"/>
        </w:rPr>
        <w:t>: DPE dashboard&gt;users&gt;add staff, either manually or bulk import.</w:t>
      </w:r>
      <w:r w:rsidRPr="003E5DF9">
        <w:rPr>
          <w:rFonts w:ascii="Calibri" w:eastAsia="Times New Roman" w:hAnsi="Calibri" w:cs="Calibri"/>
          <w:color w:val="595959"/>
          <w:sz w:val="24"/>
          <w:szCs w:val="24"/>
          <w:lang w:eastAsia="en-GB"/>
        </w:rPr>
        <w:t xml:space="preserve"> </w:t>
      </w:r>
      <w:proofErr w:type="spellStart"/>
      <w:r w:rsidRPr="003E5DF9">
        <w:rPr>
          <w:rFonts w:ascii="Calibri" w:eastAsia="Times New Roman" w:hAnsi="Calibri" w:cs="Calibri"/>
          <w:color w:val="000000"/>
          <w:sz w:val="24"/>
          <w:szCs w:val="24"/>
          <w:lang w:eastAsia="en-GB"/>
        </w:rPr>
        <w:t>Kalina</w:t>
      </w:r>
      <w:proofErr w:type="spellEnd"/>
      <w:r w:rsidRPr="003E5DF9">
        <w:rPr>
          <w:rFonts w:ascii="Calibri" w:eastAsia="Times New Roman" w:hAnsi="Calibri" w:cs="Calibri"/>
          <w:color w:val="000000"/>
          <w:sz w:val="24"/>
          <w:szCs w:val="24"/>
          <w:lang w:eastAsia="en-GB"/>
        </w:rPr>
        <w:t xml:space="preserve"> at DPE (client support) is here to help you and can be contacted for support at:</w:t>
      </w:r>
    </w:p>
    <w:p w14:paraId="7D6DC7AA"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w:t>
      </w:r>
      <w:proofErr w:type="spellStart"/>
      <w:r w:rsidRPr="003E5DF9">
        <w:rPr>
          <w:rFonts w:ascii="Calibri" w:eastAsia="Times New Roman" w:hAnsi="Calibri" w:cs="Calibri"/>
          <w:color w:val="000000"/>
          <w:sz w:val="24"/>
          <w:szCs w:val="24"/>
          <w:lang w:eastAsia="en-GB"/>
        </w:rPr>
        <w:t>ka</w:t>
      </w:r>
      <w:r w:rsidRPr="003E5DF9">
        <w:rPr>
          <w:rFonts w:ascii="Calibri" w:eastAsia="Times New Roman" w:hAnsi="Calibri" w:cs="Calibri"/>
          <w:color w:val="222222"/>
          <w:sz w:val="24"/>
          <w:szCs w:val="24"/>
          <w:shd w:val="clear" w:color="auto" w:fill="FFFFFF"/>
          <w:lang w:eastAsia="en-GB"/>
        </w:rPr>
        <w:t>lina.voyvodova@dataprotection.education</w:t>
      </w:r>
      <w:proofErr w:type="spellEnd"/>
      <w:r w:rsidRPr="003E5DF9">
        <w:rPr>
          <w:rFonts w:ascii="Calibri" w:eastAsia="Times New Roman" w:hAnsi="Calibri" w:cs="Calibri"/>
          <w:color w:val="222222"/>
          <w:sz w:val="24"/>
          <w:szCs w:val="24"/>
          <w:shd w:val="clear" w:color="auto" w:fill="FFFFFF"/>
          <w:lang w:eastAsia="en-GB"/>
        </w:rPr>
        <w:t>.</w:t>
      </w:r>
    </w:p>
    <w:p w14:paraId="7791BEF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2D57ED7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shd w:val="clear" w:color="auto" w:fill="FFFFFF"/>
          <w:lang w:eastAsia="en-GB"/>
        </w:rPr>
        <w:t xml:space="preserve">For new staff if not already, consider including DPE’s e-learning  GDPR training as part of the </w:t>
      </w:r>
      <w:r w:rsidRPr="003E5DF9">
        <w:rPr>
          <w:rFonts w:ascii="Calibri" w:eastAsia="Times New Roman" w:hAnsi="Calibri" w:cs="Calibri"/>
          <w:b/>
          <w:bCs/>
          <w:color w:val="222222"/>
          <w:sz w:val="24"/>
          <w:szCs w:val="24"/>
          <w:shd w:val="clear" w:color="auto" w:fill="FFFFFF"/>
          <w:lang w:eastAsia="en-GB"/>
        </w:rPr>
        <w:t>induction process.</w:t>
      </w:r>
    </w:p>
    <w:p w14:paraId="213D98B8"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53187DF2" w14:textId="48772222" w:rsidR="003E5DF9" w:rsidRDefault="003E5DF9" w:rsidP="00A71368">
      <w:pPr>
        <w:pStyle w:val="Heading1"/>
        <w:rPr>
          <w:rFonts w:eastAsia="Times New Roman"/>
          <w:shd w:val="clear" w:color="auto" w:fill="FFFFFF"/>
          <w:lang w:eastAsia="en-GB"/>
        </w:rPr>
      </w:pPr>
      <w:bookmarkStart w:id="2" w:name="_Toc116034477"/>
      <w:r w:rsidRPr="003E5DF9">
        <w:rPr>
          <w:rFonts w:eastAsia="Times New Roman"/>
          <w:shd w:val="clear" w:color="auto" w:fill="FFFFFF"/>
          <w:lang w:eastAsia="en-GB"/>
        </w:rPr>
        <w:t>KB updates</w:t>
      </w:r>
      <w:bookmarkEnd w:id="2"/>
    </w:p>
    <w:p w14:paraId="6DA4821B" w14:textId="2099DA3B" w:rsidR="003E5DF9" w:rsidRPr="003E5DF9" w:rsidRDefault="00191307" w:rsidP="007F34C2">
      <w:pPr>
        <w:rPr>
          <w:rFonts w:ascii="Times New Roman" w:eastAsia="Times New Roman" w:hAnsi="Times New Roman" w:cs="Times New Roman"/>
          <w:sz w:val="24"/>
          <w:szCs w:val="24"/>
          <w:lang w:eastAsia="en-GB"/>
        </w:rPr>
      </w:pPr>
      <w:r>
        <w:rPr>
          <w:sz w:val="24"/>
          <w:szCs w:val="24"/>
          <w:lang w:eastAsia="en-GB"/>
        </w:rPr>
        <w:t>We discussed how use of the Third Party Suppliers, Compliance Manager and the Checklist could be helpful moving forward</w:t>
      </w:r>
      <w:r w:rsidR="00DF7DE7">
        <w:rPr>
          <w:sz w:val="24"/>
          <w:szCs w:val="24"/>
          <w:lang w:eastAsia="en-GB"/>
        </w:rPr>
        <w:t>, particularly with regard to reporting back to the Governing Body</w:t>
      </w:r>
      <w:r>
        <w:rPr>
          <w:sz w:val="24"/>
          <w:szCs w:val="24"/>
          <w:lang w:eastAsia="en-GB"/>
        </w:rPr>
        <w:t xml:space="preserve">. We also discussed Making the Rounds as a good tool for an audit data walk and can be found in the </w:t>
      </w:r>
      <w:proofErr w:type="spellStart"/>
      <w:r>
        <w:rPr>
          <w:sz w:val="24"/>
          <w:szCs w:val="24"/>
          <w:lang w:eastAsia="en-GB"/>
        </w:rPr>
        <w:t>Knowledgebank</w:t>
      </w:r>
      <w:proofErr w:type="spellEnd"/>
      <w:r>
        <w:rPr>
          <w:sz w:val="24"/>
          <w:szCs w:val="24"/>
          <w:lang w:eastAsia="en-GB"/>
        </w:rPr>
        <w:t xml:space="preserve"> menu under</w:t>
      </w:r>
      <w:r w:rsidR="007F34C2">
        <w:rPr>
          <w:sz w:val="24"/>
          <w:szCs w:val="24"/>
          <w:lang w:eastAsia="en-GB"/>
        </w:rPr>
        <w:t xml:space="preserve"> ‘My Activities’.</w:t>
      </w:r>
    </w:p>
    <w:p w14:paraId="5B2033CD" w14:textId="2A20C862" w:rsidR="003E5DF9" w:rsidRDefault="003E5DF9" w:rsidP="00A71368">
      <w:pPr>
        <w:pStyle w:val="Heading1"/>
        <w:rPr>
          <w:rFonts w:eastAsia="Times New Roman"/>
          <w:shd w:val="clear" w:color="auto" w:fill="FFFFFF"/>
          <w:lang w:eastAsia="en-GB"/>
        </w:rPr>
      </w:pPr>
      <w:bookmarkStart w:id="3" w:name="_Toc116034478"/>
      <w:r w:rsidRPr="003E5DF9">
        <w:rPr>
          <w:rFonts w:eastAsia="Times New Roman"/>
          <w:shd w:val="clear" w:color="auto" w:fill="FFFFFF"/>
          <w:lang w:eastAsia="en-GB"/>
        </w:rPr>
        <w:t>UK data protection and digital information bill</w:t>
      </w:r>
      <w:bookmarkEnd w:id="3"/>
    </w:p>
    <w:p w14:paraId="6F19492A" w14:textId="4955BE7C" w:rsidR="003E5DF9" w:rsidRPr="00A71368" w:rsidRDefault="007F34C2" w:rsidP="007F34C2">
      <w:r>
        <w:rPr>
          <w:sz w:val="24"/>
          <w:szCs w:val="24"/>
          <w:lang w:eastAsia="en-GB"/>
        </w:rPr>
        <w:t>We discussed that the data protection bill is currently on hold due to the government changes.</w:t>
      </w:r>
    </w:p>
    <w:p w14:paraId="3818CCA4" w14:textId="11D28EE0" w:rsidR="003E5DF9" w:rsidRDefault="003E5DF9" w:rsidP="00A71368">
      <w:pPr>
        <w:pStyle w:val="Heading1"/>
      </w:pPr>
      <w:bookmarkStart w:id="4" w:name="_Toc116034479"/>
      <w:r w:rsidRPr="00A71368">
        <w:t>Record of Processing and supplier due diligence</w:t>
      </w:r>
      <w:bookmarkEnd w:id="4"/>
      <w:r w:rsidRPr="00A71368">
        <w:t> </w:t>
      </w:r>
    </w:p>
    <w:p w14:paraId="55BFDFDF" w14:textId="1CA73E5F" w:rsidR="007F34C2" w:rsidRPr="007F34C2" w:rsidRDefault="007F34C2" w:rsidP="007F34C2">
      <w:pPr>
        <w:rPr>
          <w:sz w:val="24"/>
          <w:szCs w:val="24"/>
        </w:rPr>
      </w:pPr>
      <w:r>
        <w:rPr>
          <w:sz w:val="24"/>
          <w:szCs w:val="24"/>
        </w:rPr>
        <w:t>We discussed the Record of Processing and Supplier Due Diligence – you have a list of third party suppliers, however suggested that it would be helpful for DPE to have a list of ‘pre-checked’ suppliers.  DPE are currently reviewing this.  Here is some additional information about this:</w:t>
      </w:r>
    </w:p>
    <w:p w14:paraId="2A6F772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color w:val="4A4A4A"/>
          <w:sz w:val="24"/>
          <w:szCs w:val="24"/>
          <w:shd w:val="clear" w:color="auto" w:fill="FFFFFF"/>
          <w:lang w:eastAsia="en-GB"/>
        </w:rPr>
        <w:lastRenderedPageBreak/>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113A3F1A"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0293839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Things to consider:</w:t>
      </w:r>
    </w:p>
    <w:p w14:paraId="702B113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Privacy notice/third party/supplier list - is this up to date, do you know all the organisations/suppliers you share information with?</w:t>
      </w:r>
    </w:p>
    <w:p w14:paraId="3F404605"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Due diligence form - this can be sent to new suppliers</w:t>
      </w:r>
    </w:p>
    <w:p w14:paraId="1FCB12E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Make sure that current and future contracts include data protection</w:t>
      </w:r>
    </w:p>
    <w:p w14:paraId="4CA0B64E"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Risks - what you should be thinking of when purchasing and using new products and suppliers</w:t>
      </w:r>
    </w:p>
    <w:p w14:paraId="4C7EA361"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 xml:space="preserve">If using </w:t>
      </w:r>
      <w:proofErr w:type="spellStart"/>
      <w:r w:rsidRPr="003E5DF9">
        <w:rPr>
          <w:rFonts w:ascii="Calibri" w:eastAsia="Times New Roman" w:hAnsi="Calibri" w:cs="Calibri"/>
          <w:color w:val="000000"/>
          <w:sz w:val="24"/>
          <w:szCs w:val="24"/>
          <w:shd w:val="clear" w:color="auto" w:fill="FFFFFF"/>
          <w:lang w:eastAsia="en-GB"/>
        </w:rPr>
        <w:t>GDPRiS</w:t>
      </w:r>
      <w:proofErr w:type="spellEnd"/>
      <w:r w:rsidRPr="003E5DF9">
        <w:rPr>
          <w:rFonts w:ascii="Calibri" w:eastAsia="Times New Roman" w:hAnsi="Calibri" w:cs="Calibri"/>
          <w:color w:val="000000"/>
          <w:sz w:val="24"/>
          <w:szCs w:val="24"/>
          <w:shd w:val="clear" w:color="auto" w:fill="FFFFFF"/>
          <w:lang w:eastAsia="en-GB"/>
        </w:rPr>
        <w:t xml:space="preserve"> for maintaining suppliers, make sure that this is updated and accurate</w:t>
      </w:r>
    </w:p>
    <w:p w14:paraId="314EA04C"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0685834"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 xml:space="preserve">DPEs best practice area and the due diligence form for suppliers is located here: </w:t>
      </w:r>
      <w:hyperlink r:id="rId6" w:history="1">
        <w:r w:rsidRPr="003E5DF9">
          <w:rPr>
            <w:rFonts w:ascii="Calibri" w:eastAsia="Times New Roman" w:hAnsi="Calibri" w:cs="Calibri"/>
            <w:color w:val="000000"/>
            <w:sz w:val="24"/>
            <w:szCs w:val="24"/>
            <w:u w:val="single"/>
            <w:shd w:val="clear" w:color="auto" w:fill="FFFFFF"/>
            <w:lang w:eastAsia="en-GB"/>
          </w:rPr>
          <w:t>https://dataprotection.education/index.php/best-practice-library/best-practice/due-diligence-best-practice-area</w:t>
        </w:r>
      </w:hyperlink>
    </w:p>
    <w:p w14:paraId="5423F8A7" w14:textId="57109070" w:rsidR="003E5DF9" w:rsidRDefault="003E5DF9" w:rsidP="00A71368">
      <w:pPr>
        <w:pStyle w:val="Heading1"/>
        <w:rPr>
          <w:rFonts w:eastAsia="Times New Roman"/>
          <w:lang w:eastAsia="en-GB"/>
        </w:rPr>
      </w:pPr>
      <w:bookmarkStart w:id="5" w:name="_Toc116034480"/>
      <w:r w:rsidRPr="003E5DF9">
        <w:rPr>
          <w:rFonts w:eastAsia="Times New Roman"/>
          <w:lang w:eastAsia="en-GB"/>
        </w:rPr>
        <w:t>Data retention</w:t>
      </w:r>
      <w:bookmarkEnd w:id="5"/>
    </w:p>
    <w:p w14:paraId="3181EEEE" w14:textId="6C92728B" w:rsidR="007F34C2" w:rsidRPr="007F34C2" w:rsidRDefault="007F34C2" w:rsidP="007F34C2">
      <w:pPr>
        <w:rPr>
          <w:sz w:val="24"/>
          <w:szCs w:val="24"/>
          <w:lang w:eastAsia="en-GB"/>
        </w:rPr>
      </w:pPr>
      <w:r>
        <w:rPr>
          <w:sz w:val="24"/>
          <w:szCs w:val="24"/>
          <w:lang w:eastAsia="en-GB"/>
        </w:rPr>
        <w:t>We discussed data retention and you already apply a policy for this, however, here is some additional information:</w:t>
      </w:r>
    </w:p>
    <w:p w14:paraId="0306FAC2" w14:textId="77777777" w:rsidR="003E5DF9" w:rsidRPr="003E5DF9" w:rsidRDefault="003E5DF9" w:rsidP="003E5DF9">
      <w:pPr>
        <w:spacing w:after="300" w:line="240" w:lineRule="auto"/>
        <w:rPr>
          <w:rFonts w:ascii="Times New Roman" w:eastAsia="Times New Roman" w:hAnsi="Times New Roman" w:cs="Times New Roman"/>
          <w:sz w:val="24"/>
          <w:szCs w:val="24"/>
          <w:lang w:eastAsia="en-GB"/>
        </w:rPr>
      </w:pPr>
      <w:r w:rsidRPr="003E5DF9">
        <w:rPr>
          <w:rFonts w:ascii="Calibri" w:eastAsia="Times New Roman" w:hAnsi="Calibri" w:cs="Calibri"/>
          <w:color w:val="444444"/>
          <w:sz w:val="24"/>
          <w:szCs w:val="24"/>
          <w:shd w:val="clear" w:color="auto" w:fill="FFFFFF"/>
          <w:lang w:eastAsia="en-GB"/>
        </w:rPr>
        <w:t xml:space="preserve">Organisations can set deadlines, document and justify timeframes they have set for retaining data. There are </w:t>
      </w:r>
      <w:r w:rsidRPr="003E5DF9">
        <w:rPr>
          <w:rFonts w:ascii="Calibri" w:eastAsia="Times New Roman" w:hAnsi="Calibri" w:cs="Calibri"/>
          <w:b/>
          <w:bCs/>
          <w:color w:val="444444"/>
          <w:sz w:val="24"/>
          <w:szCs w:val="24"/>
          <w:shd w:val="clear" w:color="auto" w:fill="FFFFFF"/>
          <w:lang w:eastAsia="en-GB"/>
        </w:rPr>
        <w:t>two key factors:</w:t>
      </w:r>
      <w:r w:rsidRPr="003E5DF9">
        <w:rPr>
          <w:rFonts w:ascii="Calibri" w:eastAsia="Times New Roman" w:hAnsi="Calibri" w:cs="Calibri"/>
          <w:color w:val="444444"/>
          <w:sz w:val="24"/>
          <w:szCs w:val="24"/>
          <w:shd w:val="clear" w:color="auto" w:fill="FFFFFF"/>
          <w:lang w:eastAsia="en-GB"/>
        </w:rPr>
        <w:t xml:space="preserve"> the</w:t>
      </w:r>
      <w:r w:rsidRPr="003E5DF9">
        <w:rPr>
          <w:rFonts w:ascii="Calibri" w:eastAsia="Times New Roman" w:hAnsi="Calibri" w:cs="Calibri"/>
          <w:b/>
          <w:bCs/>
          <w:color w:val="444444"/>
          <w:sz w:val="24"/>
          <w:szCs w:val="24"/>
          <w:shd w:val="clear" w:color="auto" w:fill="FFFFFF"/>
          <w:lang w:eastAsia="en-GB"/>
        </w:rPr>
        <w:t xml:space="preserve"> purpose </w:t>
      </w:r>
      <w:r w:rsidRPr="003E5DF9">
        <w:rPr>
          <w:rFonts w:ascii="Calibri" w:eastAsia="Times New Roman" w:hAnsi="Calibri" w:cs="Calibri"/>
          <w:color w:val="444444"/>
          <w:sz w:val="24"/>
          <w:szCs w:val="24"/>
          <w:shd w:val="clear" w:color="auto" w:fill="FFFFFF"/>
          <w:lang w:eastAsia="en-GB"/>
        </w:rPr>
        <w:t xml:space="preserve">for processing the data, and any </w:t>
      </w:r>
      <w:r w:rsidRPr="003E5DF9">
        <w:rPr>
          <w:rFonts w:ascii="Calibri" w:eastAsia="Times New Roman" w:hAnsi="Calibri" w:cs="Calibri"/>
          <w:b/>
          <w:bCs/>
          <w:color w:val="444444"/>
          <w:sz w:val="24"/>
          <w:szCs w:val="24"/>
          <w:shd w:val="clear" w:color="auto" w:fill="FFFFFF"/>
          <w:lang w:eastAsia="en-GB"/>
        </w:rPr>
        <w:t xml:space="preserve">legal or regulatory  requirements </w:t>
      </w:r>
      <w:r w:rsidRPr="003E5DF9">
        <w:rPr>
          <w:rFonts w:ascii="Calibri" w:eastAsia="Times New Roman" w:hAnsi="Calibri" w:cs="Calibri"/>
          <w:color w:val="444444"/>
          <w:sz w:val="24"/>
          <w:szCs w:val="24"/>
          <w:shd w:val="clear" w:color="auto" w:fill="FFFFFF"/>
          <w:lang w:eastAsia="en-GB"/>
        </w:rPr>
        <w:t xml:space="preserve">for </w:t>
      </w:r>
      <w:r w:rsidRPr="003E5DF9">
        <w:rPr>
          <w:rFonts w:ascii="Calibri" w:eastAsia="Times New Roman" w:hAnsi="Calibri" w:cs="Calibri"/>
          <w:b/>
          <w:bCs/>
          <w:color w:val="444444"/>
          <w:sz w:val="24"/>
          <w:szCs w:val="24"/>
          <w:shd w:val="clear" w:color="auto" w:fill="FFFFFF"/>
          <w:lang w:eastAsia="en-GB"/>
        </w:rPr>
        <w:t xml:space="preserve">retaining it. </w:t>
      </w:r>
      <w:r w:rsidRPr="003E5DF9">
        <w:rPr>
          <w:rFonts w:ascii="Calibri" w:eastAsia="Times New Roman" w:hAnsi="Calibri" w:cs="Calibri"/>
          <w:color w:val="444444"/>
          <w:sz w:val="24"/>
          <w:szCs w:val="24"/>
          <w:shd w:val="clear" w:color="auto" w:fill="FFFFFF"/>
          <w:lang w:eastAsia="en-GB"/>
        </w:rPr>
        <w:t>One of your purposes will need to apply for you to continue to store the data. Data should not be held for longer than is needed. You shouldn’t just keep data just in case you may need it in the future.</w:t>
      </w:r>
    </w:p>
    <w:p w14:paraId="3DCEA105"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222222"/>
          <w:sz w:val="24"/>
          <w:szCs w:val="24"/>
          <w:lang w:eastAsia="en-GB"/>
        </w:rPr>
        <w:t>Different data systems to  consider when reviewing data retention: </w:t>
      </w:r>
    </w:p>
    <w:p w14:paraId="3B040DAB"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Emails</w:t>
      </w:r>
    </w:p>
    <w:p w14:paraId="258D233A"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MIS</w:t>
      </w:r>
    </w:p>
    <w:p w14:paraId="328D3433"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Website</w:t>
      </w:r>
    </w:p>
    <w:p w14:paraId="6E1850FB"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Network/CLOUD</w:t>
      </w:r>
    </w:p>
    <w:p w14:paraId="35E79FD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1EB383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222222"/>
          <w:sz w:val="24"/>
          <w:szCs w:val="24"/>
          <w:lang w:eastAsia="en-GB"/>
        </w:rPr>
        <w:t>Tools to support you:</w:t>
      </w:r>
    </w:p>
    <w:p w14:paraId="07D7A824"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75A159C"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There are a number of tools to support you with data retention: I</w:t>
      </w:r>
      <w:hyperlink r:id="rId7" w:history="1">
        <w:r w:rsidRPr="003E5DF9">
          <w:rPr>
            <w:rFonts w:ascii="Calibri" w:eastAsia="Times New Roman" w:hAnsi="Calibri" w:cs="Calibri"/>
            <w:color w:val="0563C1"/>
            <w:sz w:val="24"/>
            <w:szCs w:val="24"/>
            <w:u w:val="single"/>
            <w:lang w:eastAsia="en-GB"/>
          </w:rPr>
          <w:t>RMS</w:t>
        </w:r>
      </w:hyperlink>
      <w:r w:rsidRPr="003E5DF9">
        <w:rPr>
          <w:rFonts w:ascii="Calibri" w:eastAsia="Times New Roman" w:hAnsi="Calibri" w:cs="Calibri"/>
          <w:color w:val="000000"/>
          <w:sz w:val="24"/>
          <w:szCs w:val="24"/>
          <w:lang w:eastAsia="en-GB"/>
        </w:rPr>
        <w:t xml:space="preserve"> toolkit</w:t>
      </w:r>
    </w:p>
    <w:p w14:paraId="55FC0C23"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DPE’s </w:t>
      </w:r>
      <w:hyperlink r:id="rId8" w:history="1">
        <w:r w:rsidRPr="003E5DF9">
          <w:rPr>
            <w:rFonts w:ascii="Calibri" w:eastAsia="Times New Roman" w:hAnsi="Calibri" w:cs="Calibri"/>
            <w:color w:val="0563C1"/>
            <w:sz w:val="24"/>
            <w:szCs w:val="24"/>
            <w:u w:val="single"/>
            <w:lang w:eastAsia="en-GB"/>
          </w:rPr>
          <w:t xml:space="preserve">record management </w:t>
        </w:r>
      </w:hyperlink>
      <w:r w:rsidRPr="003E5DF9">
        <w:rPr>
          <w:rFonts w:ascii="Calibri" w:eastAsia="Times New Roman" w:hAnsi="Calibri" w:cs="Calibri"/>
          <w:color w:val="000000"/>
          <w:sz w:val="24"/>
          <w:szCs w:val="24"/>
          <w:lang w:eastAsia="en-GB"/>
        </w:rPr>
        <w:t> best practice area</w:t>
      </w:r>
    </w:p>
    <w:p w14:paraId="416A8E54"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9" w:anchor=":~:text=Every%20entry%20in%20the%20admission,which%20the%20entry%20was%20made.&amp;text=Schools%20may%20wish%20to%20consider,dates%20they%20attended%20the%20school." w:history="1">
        <w:r w:rsidR="003E5DF9" w:rsidRPr="003E5DF9">
          <w:rPr>
            <w:rFonts w:ascii="Calibri" w:eastAsia="Times New Roman" w:hAnsi="Calibri" w:cs="Calibri"/>
            <w:color w:val="0563C1"/>
            <w:sz w:val="24"/>
            <w:szCs w:val="24"/>
            <w:u w:val="single"/>
            <w:lang w:eastAsia="en-GB"/>
          </w:rPr>
          <w:t>DfE</w:t>
        </w:r>
      </w:hyperlink>
      <w:r w:rsidR="003E5DF9" w:rsidRPr="003E5DF9">
        <w:rPr>
          <w:rFonts w:ascii="Calibri" w:eastAsia="Times New Roman" w:hAnsi="Calibri" w:cs="Calibri"/>
          <w:color w:val="000000"/>
          <w:sz w:val="24"/>
          <w:szCs w:val="24"/>
          <w:lang w:eastAsia="en-GB"/>
        </w:rPr>
        <w:t xml:space="preserve"> Annual review of school records and safe data destruction checklist</w:t>
      </w:r>
    </w:p>
    <w:p w14:paraId="2FE310C5"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0" w:history="1">
        <w:r w:rsidR="003E5DF9" w:rsidRPr="003E5DF9">
          <w:rPr>
            <w:rFonts w:ascii="Calibri" w:eastAsia="Times New Roman" w:hAnsi="Calibri" w:cs="Calibri"/>
            <w:color w:val="0563C1"/>
            <w:sz w:val="24"/>
            <w:szCs w:val="24"/>
            <w:u w:val="single"/>
            <w:lang w:eastAsia="en-GB"/>
          </w:rPr>
          <w:t>ICO</w:t>
        </w:r>
      </w:hyperlink>
    </w:p>
    <w:p w14:paraId="350730C1"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DPEs </w:t>
      </w:r>
      <w:hyperlink r:id="rId11" w:history="1">
        <w:r w:rsidRPr="003E5DF9">
          <w:rPr>
            <w:rFonts w:ascii="Calibri" w:eastAsia="Times New Roman" w:hAnsi="Calibri" w:cs="Calibri"/>
            <w:color w:val="0563C1"/>
            <w:sz w:val="24"/>
            <w:szCs w:val="24"/>
            <w:u w:val="single"/>
            <w:lang w:eastAsia="en-GB"/>
          </w:rPr>
          <w:t>Record of Processing (</w:t>
        </w:r>
        <w:proofErr w:type="spellStart"/>
        <w:r w:rsidRPr="003E5DF9">
          <w:rPr>
            <w:rFonts w:ascii="Calibri" w:eastAsia="Times New Roman" w:hAnsi="Calibri" w:cs="Calibri"/>
            <w:color w:val="0563C1"/>
            <w:sz w:val="24"/>
            <w:szCs w:val="24"/>
            <w:u w:val="single"/>
            <w:lang w:eastAsia="en-GB"/>
          </w:rPr>
          <w:t>RoP</w:t>
        </w:r>
        <w:proofErr w:type="spellEnd"/>
        <w:r w:rsidRPr="003E5DF9">
          <w:rPr>
            <w:rFonts w:ascii="Calibri" w:eastAsia="Times New Roman" w:hAnsi="Calibri" w:cs="Calibri"/>
            <w:color w:val="0563C1"/>
            <w:sz w:val="24"/>
            <w:szCs w:val="24"/>
            <w:u w:val="single"/>
            <w:lang w:eastAsia="en-GB"/>
          </w:rPr>
          <w:t>)</w:t>
        </w:r>
      </w:hyperlink>
    </w:p>
    <w:p w14:paraId="6FE6381F"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Your third party list within your privacy notice</w:t>
      </w:r>
    </w:p>
    <w:p w14:paraId="6E03FF8F"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lastRenderedPageBreak/>
        <w:t xml:space="preserve">Laws and regulations (for example, financial regulations and handbooks and limitations act: </w:t>
      </w:r>
      <w:hyperlink r:id="rId12" w:history="1">
        <w:r w:rsidRPr="003E5DF9">
          <w:rPr>
            <w:rFonts w:ascii="Calibri" w:eastAsia="Times New Roman" w:hAnsi="Calibri" w:cs="Calibri"/>
            <w:color w:val="0563C1"/>
            <w:sz w:val="24"/>
            <w:szCs w:val="24"/>
            <w:u w:val="single"/>
            <w:lang w:eastAsia="en-GB"/>
          </w:rPr>
          <w:t>https://www.legislation.gov.uk/ukpga/1980/58</w:t>
        </w:r>
      </w:hyperlink>
      <w:r w:rsidRPr="003E5DF9">
        <w:rPr>
          <w:rFonts w:ascii="Calibri" w:eastAsia="Times New Roman" w:hAnsi="Calibri" w:cs="Calibri"/>
          <w:color w:val="000000"/>
          <w:sz w:val="24"/>
          <w:szCs w:val="24"/>
          <w:lang w:eastAsia="en-GB"/>
        </w:rPr>
        <w:t xml:space="preserve"> /legislation: </w:t>
      </w:r>
      <w:hyperlink r:id="rId13" w:history="1">
        <w:r w:rsidRPr="003E5DF9">
          <w:rPr>
            <w:rFonts w:ascii="Calibri" w:eastAsia="Times New Roman" w:hAnsi="Calibri" w:cs="Calibri"/>
            <w:color w:val="0563C1"/>
            <w:sz w:val="24"/>
            <w:szCs w:val="24"/>
            <w:u w:val="single"/>
            <w:lang w:eastAsia="en-GB"/>
          </w:rPr>
          <w:t>https://www.legislation.gov.uk/uksi/2021/833/contents/made</w:t>
        </w:r>
      </w:hyperlink>
      <w:r w:rsidRPr="003E5DF9">
        <w:rPr>
          <w:rFonts w:ascii="Calibri" w:eastAsia="Times New Roman" w:hAnsi="Calibri" w:cs="Calibri"/>
          <w:color w:val="000000"/>
          <w:sz w:val="24"/>
          <w:szCs w:val="24"/>
          <w:lang w:eastAsia="en-GB"/>
        </w:rPr>
        <w:t xml:space="preserve"> )</w:t>
      </w:r>
    </w:p>
    <w:p w14:paraId="2A700C5C"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4" w:history="1">
        <w:r w:rsidR="003E5DF9" w:rsidRPr="003E5DF9">
          <w:rPr>
            <w:rFonts w:ascii="Calibri" w:eastAsia="Times New Roman" w:hAnsi="Calibri" w:cs="Calibri"/>
            <w:color w:val="0563C1"/>
            <w:sz w:val="24"/>
            <w:szCs w:val="24"/>
            <w:u w:val="single"/>
            <w:lang w:eastAsia="en-GB"/>
          </w:rPr>
          <w:t>Microsoft retention tools</w:t>
        </w:r>
      </w:hyperlink>
    </w:p>
    <w:p w14:paraId="2796DF32"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5" w:history="1">
        <w:r w:rsidR="003E5DF9" w:rsidRPr="003E5DF9">
          <w:rPr>
            <w:rFonts w:ascii="Calibri" w:eastAsia="Times New Roman" w:hAnsi="Calibri" w:cs="Calibri"/>
            <w:color w:val="0563C1"/>
            <w:sz w:val="24"/>
            <w:szCs w:val="24"/>
            <w:u w:val="single"/>
            <w:lang w:eastAsia="en-GB"/>
          </w:rPr>
          <w:t>Google retention tools</w:t>
        </w:r>
      </w:hyperlink>
    </w:p>
    <w:p w14:paraId="61FD365D"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6" w:history="1">
        <w:r w:rsidR="003E5DF9" w:rsidRPr="003E5DF9">
          <w:rPr>
            <w:rFonts w:ascii="Calibri" w:eastAsia="Times New Roman" w:hAnsi="Calibri" w:cs="Calibri"/>
            <w:color w:val="0563C1"/>
            <w:sz w:val="24"/>
            <w:szCs w:val="24"/>
            <w:u w:val="single"/>
            <w:lang w:eastAsia="en-GB"/>
          </w:rPr>
          <w:t>MIS retention tools</w:t>
        </w:r>
      </w:hyperlink>
    </w:p>
    <w:p w14:paraId="182F7921" w14:textId="6164D644" w:rsidR="003E5DF9" w:rsidRPr="00DF7DE7" w:rsidRDefault="003E5DF9" w:rsidP="00C56F08">
      <w:pPr>
        <w:numPr>
          <w:ilvl w:val="0"/>
          <w:numId w:val="14"/>
        </w:numPr>
        <w:shd w:val="clear" w:color="auto" w:fill="FFFFFF"/>
        <w:spacing w:after="0" w:line="240" w:lineRule="auto"/>
        <w:textAlignment w:val="baseline"/>
        <w:rPr>
          <w:rFonts w:ascii="Times New Roman" w:eastAsia="Times New Roman" w:hAnsi="Times New Roman" w:cs="Times New Roman"/>
          <w:sz w:val="24"/>
          <w:szCs w:val="24"/>
          <w:lang w:eastAsia="en-GB"/>
        </w:rPr>
      </w:pPr>
      <w:r w:rsidRPr="00DF7DE7">
        <w:rPr>
          <w:rFonts w:ascii="Calibri" w:eastAsia="Times New Roman" w:hAnsi="Calibri" w:cs="Calibri"/>
          <w:color w:val="000000"/>
          <w:sz w:val="24"/>
          <w:szCs w:val="24"/>
          <w:lang w:eastAsia="en-GB"/>
        </w:rPr>
        <w:t>Network scanning and retention tools - speak to your IT department</w:t>
      </w:r>
      <w:r w:rsidRPr="00DF7DE7">
        <w:rPr>
          <w:rFonts w:ascii="Times New Roman" w:eastAsia="Times New Roman" w:hAnsi="Times New Roman" w:cs="Times New Roman"/>
          <w:color w:val="000000"/>
          <w:sz w:val="24"/>
          <w:szCs w:val="24"/>
          <w:lang w:eastAsia="en-GB"/>
        </w:rPr>
        <w:t> </w:t>
      </w:r>
    </w:p>
    <w:p w14:paraId="5F2D9E13" w14:textId="30EAF109" w:rsidR="003E5DF9" w:rsidRPr="003E5DF9" w:rsidRDefault="003E5DF9" w:rsidP="00DF7DE7">
      <w:pPr>
        <w:pStyle w:val="Heading1"/>
        <w:rPr>
          <w:rFonts w:ascii="Times New Roman" w:eastAsia="Times New Roman" w:hAnsi="Times New Roman" w:cs="Times New Roman"/>
          <w:sz w:val="24"/>
          <w:szCs w:val="24"/>
          <w:lang w:eastAsia="en-GB"/>
        </w:rPr>
      </w:pPr>
      <w:bookmarkStart w:id="6" w:name="_Toc116034481"/>
      <w:r w:rsidRPr="003E5DF9">
        <w:rPr>
          <w:rFonts w:eastAsia="Times New Roman"/>
          <w:lang w:eastAsia="en-GB"/>
        </w:rPr>
        <w:t>Staff training and raising staff awareness</w:t>
      </w:r>
      <w:bookmarkEnd w:id="6"/>
      <w:r w:rsidRPr="003E5DF9">
        <w:rPr>
          <w:rFonts w:eastAsia="Times New Roman"/>
          <w:lang w:eastAsia="en-GB"/>
        </w:rPr>
        <w:t> </w:t>
      </w:r>
    </w:p>
    <w:p w14:paraId="741623D4"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 xml:space="preserve">Why not use staff briefings and having a monthly focus </w:t>
      </w:r>
      <w:r w:rsidRPr="003E5DF9">
        <w:rPr>
          <w:rFonts w:ascii="Calibri" w:eastAsia="Times New Roman" w:hAnsi="Calibri" w:cs="Calibri"/>
          <w:color w:val="000000"/>
          <w:sz w:val="24"/>
          <w:szCs w:val="24"/>
          <w:lang w:eastAsia="en-GB"/>
        </w:rPr>
        <w:t>i.e. clear desks and locking laptops etc. This is   an ideal way to raise awareness and keep staff focused with the latest data protection issues. </w:t>
      </w:r>
    </w:p>
    <w:p w14:paraId="10696F8F"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br/>
      </w:r>
      <w:r w:rsidRPr="003E5DF9">
        <w:rPr>
          <w:rFonts w:ascii="Times New Roman" w:eastAsia="Times New Roman" w:hAnsi="Times New Roman" w:cs="Times New Roman"/>
          <w:color w:val="000000"/>
          <w:sz w:val="24"/>
          <w:szCs w:val="24"/>
          <w:lang w:eastAsia="en-GB"/>
        </w:rPr>
        <w:br/>
      </w:r>
    </w:p>
    <w:p w14:paraId="63532481" w14:textId="77777777" w:rsidR="00E718F2" w:rsidRDefault="00E718F2"/>
    <w:sectPr w:rsidR="00E71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0C1"/>
    <w:multiLevelType w:val="multilevel"/>
    <w:tmpl w:val="1F0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707"/>
    <w:multiLevelType w:val="multilevel"/>
    <w:tmpl w:val="E33AB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F4972"/>
    <w:multiLevelType w:val="multilevel"/>
    <w:tmpl w:val="C1C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977BF"/>
    <w:multiLevelType w:val="multilevel"/>
    <w:tmpl w:val="5EA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7D6D"/>
    <w:multiLevelType w:val="multilevel"/>
    <w:tmpl w:val="39829A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20F02"/>
    <w:multiLevelType w:val="multilevel"/>
    <w:tmpl w:val="F68CF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C2B2E"/>
    <w:multiLevelType w:val="multilevel"/>
    <w:tmpl w:val="809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167C3"/>
    <w:multiLevelType w:val="multilevel"/>
    <w:tmpl w:val="BF5A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266B1"/>
    <w:multiLevelType w:val="multilevel"/>
    <w:tmpl w:val="DC380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77929"/>
    <w:multiLevelType w:val="multilevel"/>
    <w:tmpl w:val="F402A4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64522F"/>
    <w:multiLevelType w:val="multilevel"/>
    <w:tmpl w:val="310288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12762"/>
    <w:multiLevelType w:val="multilevel"/>
    <w:tmpl w:val="1EF2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F5110"/>
    <w:multiLevelType w:val="multilevel"/>
    <w:tmpl w:val="28F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4014D"/>
    <w:multiLevelType w:val="multilevel"/>
    <w:tmpl w:val="222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9264F"/>
    <w:multiLevelType w:val="multilevel"/>
    <w:tmpl w:val="AB8C9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021550">
    <w:abstractNumId w:val="7"/>
  </w:num>
  <w:num w:numId="2" w16cid:durableId="1117454551">
    <w:abstractNumId w:val="11"/>
  </w:num>
  <w:num w:numId="3" w16cid:durableId="1846244414">
    <w:abstractNumId w:val="0"/>
  </w:num>
  <w:num w:numId="4" w16cid:durableId="1018968878">
    <w:abstractNumId w:val="12"/>
  </w:num>
  <w:num w:numId="5" w16cid:durableId="1593976425">
    <w:abstractNumId w:val="14"/>
    <w:lvlOverride w:ilvl="0">
      <w:lvl w:ilvl="0">
        <w:numFmt w:val="decimal"/>
        <w:lvlText w:val="%1."/>
        <w:lvlJc w:val="left"/>
      </w:lvl>
    </w:lvlOverride>
  </w:num>
  <w:num w:numId="6" w16cid:durableId="323706235">
    <w:abstractNumId w:val="8"/>
    <w:lvlOverride w:ilvl="0">
      <w:lvl w:ilvl="0">
        <w:numFmt w:val="decimal"/>
        <w:lvlText w:val="%1."/>
        <w:lvlJc w:val="left"/>
      </w:lvl>
    </w:lvlOverride>
  </w:num>
  <w:num w:numId="7" w16cid:durableId="1851599616">
    <w:abstractNumId w:val="5"/>
    <w:lvlOverride w:ilvl="0">
      <w:lvl w:ilvl="0">
        <w:numFmt w:val="decimal"/>
        <w:lvlText w:val="%1."/>
        <w:lvlJc w:val="left"/>
      </w:lvl>
    </w:lvlOverride>
  </w:num>
  <w:num w:numId="8" w16cid:durableId="2131196418">
    <w:abstractNumId w:val="10"/>
    <w:lvlOverride w:ilvl="0">
      <w:lvl w:ilvl="0">
        <w:numFmt w:val="decimal"/>
        <w:lvlText w:val="%1."/>
        <w:lvlJc w:val="left"/>
      </w:lvl>
    </w:lvlOverride>
  </w:num>
  <w:num w:numId="9" w16cid:durableId="667176359">
    <w:abstractNumId w:val="2"/>
  </w:num>
  <w:num w:numId="10" w16cid:durableId="683554760">
    <w:abstractNumId w:val="1"/>
    <w:lvlOverride w:ilvl="0">
      <w:lvl w:ilvl="0">
        <w:numFmt w:val="decimal"/>
        <w:lvlText w:val="%1."/>
        <w:lvlJc w:val="left"/>
      </w:lvl>
    </w:lvlOverride>
  </w:num>
  <w:num w:numId="11" w16cid:durableId="2139955874">
    <w:abstractNumId w:val="6"/>
  </w:num>
  <w:num w:numId="12" w16cid:durableId="95173418">
    <w:abstractNumId w:val="9"/>
    <w:lvlOverride w:ilvl="0">
      <w:lvl w:ilvl="0">
        <w:numFmt w:val="decimal"/>
        <w:lvlText w:val="%1."/>
        <w:lvlJc w:val="left"/>
      </w:lvl>
    </w:lvlOverride>
  </w:num>
  <w:num w:numId="13" w16cid:durableId="1868640629">
    <w:abstractNumId w:val="13"/>
  </w:num>
  <w:num w:numId="14" w16cid:durableId="25328168">
    <w:abstractNumId w:val="3"/>
  </w:num>
  <w:num w:numId="15" w16cid:durableId="198751399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F9"/>
    <w:rsid w:val="00191307"/>
    <w:rsid w:val="003E5DF9"/>
    <w:rsid w:val="00692F3A"/>
    <w:rsid w:val="007F34C2"/>
    <w:rsid w:val="00A71368"/>
    <w:rsid w:val="00DF7DE7"/>
    <w:rsid w:val="00E718F2"/>
    <w:rsid w:val="00EC43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B379"/>
  <w15:chartTrackingRefBased/>
  <w15:docId w15:val="{CD41D8D7-4111-4DB8-B5AD-41A5F0D52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5D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E5DF9"/>
    <w:rPr>
      <w:color w:val="0000FF"/>
      <w:u w:val="single"/>
    </w:rPr>
  </w:style>
  <w:style w:type="character" w:customStyle="1" w:styleId="Heading1Char">
    <w:name w:val="Heading 1 Char"/>
    <w:basedOn w:val="DefaultParagraphFont"/>
    <w:link w:val="Heading1"/>
    <w:uiPriority w:val="9"/>
    <w:rsid w:val="00A713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71368"/>
    <w:pPr>
      <w:outlineLvl w:val="9"/>
    </w:pPr>
    <w:rPr>
      <w:lang w:eastAsia="en-GB"/>
    </w:rPr>
  </w:style>
  <w:style w:type="paragraph" w:styleId="TOC1">
    <w:name w:val="toc 1"/>
    <w:basedOn w:val="Normal"/>
    <w:next w:val="Normal"/>
    <w:autoRedefine/>
    <w:uiPriority w:val="39"/>
    <w:unhideWhenUsed/>
    <w:rsid w:val="00A71368"/>
    <w:pPr>
      <w:spacing w:after="100"/>
    </w:pPr>
  </w:style>
  <w:style w:type="character" w:styleId="UnresolvedMention">
    <w:name w:val="Unresolved Mention"/>
    <w:basedOn w:val="DefaultParagraphFont"/>
    <w:uiPriority w:val="99"/>
    <w:semiHidden/>
    <w:unhideWhenUsed/>
    <w:rsid w:val="00191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records-management" TargetMode="External"/><Relationship Id="rId13" Type="http://schemas.openxmlformats.org/officeDocument/2006/relationships/hyperlink" Target="https://www.legislation.gov.uk/uksi/2021/833/contents/mad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rms.org.uk/page/SchoolsToolkit" TargetMode="External"/><Relationship Id="rId12" Type="http://schemas.openxmlformats.org/officeDocument/2006/relationships/hyperlink" Target="https://www.legislation.gov.uk/ukpga/1980/5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upport.capitasoftware.com/csm?id=kb_article_view&amp;sysparm_article=KB0035802&amp;sys_kb_id=1915cce21b9f3010c723edb2b24bcbce&amp;spa=1" TargetMode="External"/><Relationship Id="rId1" Type="http://schemas.openxmlformats.org/officeDocument/2006/relationships/numbering" Target="numbering.xml"/><Relationship Id="rId6" Type="http://schemas.openxmlformats.org/officeDocument/2006/relationships/hyperlink" Target="https://dataprotection.education/index.php/best-practice-library/best-practice/due-diligence-best-practice-area" TargetMode="External"/><Relationship Id="rId11" Type="http://schemas.openxmlformats.org/officeDocument/2006/relationships/hyperlink" Target="https://dataprotection.education/index.php?option=com_tjucm&amp;view=items&amp;client=com_tjucm.rop&amp;filter_process=generic&amp;Itemid=1258" TargetMode="External"/><Relationship Id="rId5" Type="http://schemas.openxmlformats.org/officeDocument/2006/relationships/hyperlink" Target="mailto:dpo@dataprotection.education" TargetMode="External"/><Relationship Id="rId15" Type="http://schemas.openxmlformats.org/officeDocument/2006/relationships/hyperlink" Target="https://support.google.com/vault/answer/2990828?hl=en" TargetMode="External"/><Relationship Id="rId10" Type="http://schemas.openxmlformats.org/officeDocument/2006/relationships/hyperlink" Target="https://ico.org.uk/for-organisations/guide-to-data-protection/guide-to-the-general-data-protection-regulation-gdpr/principles/storage-limitation/" TargetMode="External"/><Relationship Id="rId4" Type="http://schemas.openxmlformats.org/officeDocument/2006/relationships/webSettings" Target="webSettings.xml"/><Relationship Id="rId9" Type="http://schemas.openxmlformats.org/officeDocument/2006/relationships/hyperlink" Target="https://assets.publishing.service.gov.uk/government/uploads/system/uploads/attachment_data/file/737237/Records_Checklist_Safe_Data_Destruction_Log_accessible.docx" TargetMode="External"/><Relationship Id="rId14" Type="http://schemas.openxmlformats.org/officeDocument/2006/relationships/hyperlink" Target="https://docs.microsoft.com/en-us/microsoft-365/compliance/retention?view=o365-worldw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1246</Words>
  <Characters>7107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6</cp:revision>
  <dcterms:created xsi:type="dcterms:W3CDTF">2022-10-07T08:06:00Z</dcterms:created>
  <dcterms:modified xsi:type="dcterms:W3CDTF">2022-10-07T10:27:00Z</dcterms:modified>
</cp:coreProperties>
</file>