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51D42D1"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proofErr w:type="spellStart"/>
      <w:r w:rsidR="00461F74">
        <w:rPr>
          <w:rFonts w:ascii="Calibri" w:hAnsi="Calibri" w:cs="Calibri"/>
          <w:b w:val="0"/>
          <w:bCs/>
          <w:color w:val="4BACC6" w:themeColor="accent5"/>
          <w:sz w:val="32"/>
          <w:szCs w:val="32"/>
        </w:rPr>
        <w:t>Necton</w:t>
      </w:r>
      <w:proofErr w:type="spellEnd"/>
      <w:r w:rsidR="0076556E">
        <w:rPr>
          <w:rFonts w:ascii="Calibri" w:hAnsi="Calibri" w:cs="Calibri"/>
          <w:b w:val="0"/>
          <w:bCs/>
          <w:color w:val="4BACC6" w:themeColor="accent5"/>
          <w:sz w:val="32"/>
          <w:szCs w:val="32"/>
        </w:rPr>
        <w:t xml:space="preserve"> V</w:t>
      </w:r>
      <w:r w:rsidR="00461F74">
        <w:rPr>
          <w:rFonts w:ascii="Calibri" w:hAnsi="Calibri" w:cs="Calibri"/>
          <w:b w:val="0"/>
          <w:bCs/>
          <w:color w:val="4BACC6" w:themeColor="accent5"/>
          <w:sz w:val="32"/>
          <w:szCs w:val="32"/>
        </w:rPr>
        <w:t>A</w:t>
      </w:r>
      <w:r w:rsidR="0076556E">
        <w:rPr>
          <w:rFonts w:ascii="Calibri" w:hAnsi="Calibri" w:cs="Calibri"/>
          <w:b w:val="0"/>
          <w:bCs/>
          <w:color w:val="4BACC6" w:themeColor="accent5"/>
          <w:sz w:val="32"/>
          <w:szCs w:val="32"/>
        </w:rPr>
        <w:t xml:space="preserve"> Primary </w:t>
      </w:r>
      <w:r w:rsidR="00967799">
        <w:rPr>
          <w:rFonts w:ascii="Calibri" w:hAnsi="Calibri" w:cs="Calibri"/>
          <w:b w:val="0"/>
          <w:bCs/>
          <w:color w:val="4BACC6" w:themeColor="accent5"/>
          <w:sz w:val="32"/>
          <w:szCs w:val="32"/>
        </w:rPr>
        <w:t>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6A498FCD"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C4469C">
        <w:rPr>
          <w:rFonts w:ascii="Calibri" w:hAnsi="Calibri" w:cs="Calibri"/>
          <w:b w:val="0"/>
          <w:bCs/>
          <w:color w:val="4BACC6" w:themeColor="accent5"/>
          <w:sz w:val="32"/>
          <w:szCs w:val="32"/>
        </w:rPr>
        <w:t>12.12</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4E9A5FE9"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461F74">
        <w:rPr>
          <w:rFonts w:ascii="Calibri" w:eastAsia="Calibri" w:hAnsi="Calibri" w:cs="Calibri"/>
          <w:bCs/>
          <w:color w:val="4BACC6" w:themeColor="accent5"/>
          <w:sz w:val="32"/>
          <w:szCs w:val="32"/>
        </w:rPr>
        <w:t>Tania Freestone</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25880A59"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6F01C2F5"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31A12DE9" w14:textId="48ADBEC0" w:rsidR="0035535F" w:rsidRPr="0035535F" w:rsidRDefault="0038215C"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F6B15B2" w14:textId="77777777" w:rsidR="0035535F" w:rsidRPr="0035535F" w:rsidRDefault="0035535F"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1A2BFD2C" w14:textId="54956AD8" w:rsidR="0035535F" w:rsidRPr="0035535F" w:rsidRDefault="0038215C"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249C3A9B" w14:textId="03ACCA8C" w:rsidR="0035535F" w:rsidRPr="0035535F" w:rsidRDefault="0038215C" w:rsidP="0035535F">
      <w:pPr>
        <w:pStyle w:val="ListParagraph"/>
        <w:numPr>
          <w:ilvl w:val="0"/>
          <w:numId w:val="13"/>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color w:val="000000"/>
          <w:sz w:val="24"/>
          <w:szCs w:val="24"/>
        </w:rPr>
        <w:t>Best Practice Checklist</w:t>
      </w:r>
    </w:p>
    <w:p w14:paraId="2BCCC68F" w14:textId="77777777" w:rsidR="0035535F" w:rsidRPr="0035535F" w:rsidRDefault="0035535F" w:rsidP="0035535F">
      <w:pPr>
        <w:shd w:val="clear" w:color="auto" w:fill="FFFFFF"/>
        <w:rPr>
          <w:rFonts w:asciiTheme="majorHAnsi" w:hAnsiTheme="majorHAnsi" w:cstheme="majorHAnsi"/>
          <w:color w:val="000000"/>
          <w:sz w:val="24"/>
          <w:szCs w:val="24"/>
        </w:rPr>
      </w:pPr>
    </w:p>
    <w:p w14:paraId="69EA2288" w14:textId="77777777" w:rsidR="0035535F" w:rsidRPr="0035535F" w:rsidRDefault="0035535F" w:rsidP="0035535F">
      <w:pPr>
        <w:shd w:val="clear" w:color="auto" w:fill="FFFFFF"/>
        <w:rPr>
          <w:rFonts w:asciiTheme="majorHAnsi" w:hAnsiTheme="majorHAnsi" w:cstheme="majorHAnsi"/>
          <w:b/>
          <w:color w:val="4BACC6"/>
          <w:sz w:val="24"/>
          <w:szCs w:val="24"/>
          <w:highlight w:val="white"/>
        </w:rPr>
      </w:pPr>
    </w:p>
    <w:p w14:paraId="563B994A" w14:textId="77777777" w:rsidR="0035535F" w:rsidRPr="0035535F" w:rsidRDefault="0035535F" w:rsidP="0035535F">
      <w:pPr>
        <w:numPr>
          <w:ilvl w:val="0"/>
          <w:numId w:val="12"/>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2F5AA5AD" w14:textId="7CB9AA9F" w:rsidR="0035535F" w:rsidRPr="0035535F" w:rsidRDefault="0035535F" w:rsidP="0035535F">
      <w:pPr>
        <w:ind w:left="567"/>
        <w:rPr>
          <w:rFonts w:asciiTheme="majorHAnsi" w:hAnsiTheme="majorHAnsi" w:cstheme="majorHAnsi"/>
          <w:sz w:val="24"/>
          <w:szCs w:val="24"/>
        </w:rPr>
      </w:pPr>
      <w:r w:rsidRPr="0035535F">
        <w:rPr>
          <w:rFonts w:asciiTheme="majorHAnsi" w:hAnsiTheme="majorHAnsi" w:cstheme="majorHAnsi"/>
          <w:sz w:val="24"/>
          <w:szCs w:val="24"/>
        </w:rPr>
        <w:t>Although the documents below are not all statutory to have on your website, for transparency and ease of managing these documents, we do recommend a data protection section on your website</w:t>
      </w:r>
      <w:r w:rsidR="00A20000">
        <w:rPr>
          <w:rFonts w:asciiTheme="majorHAnsi" w:hAnsiTheme="majorHAnsi" w:cstheme="majorHAnsi"/>
          <w:sz w:val="24"/>
          <w:szCs w:val="24"/>
        </w:rPr>
        <w:t>.</w:t>
      </w:r>
    </w:p>
    <w:p w14:paraId="3AF648C8" w14:textId="77777777" w:rsidR="0035535F" w:rsidRPr="0035535F" w:rsidRDefault="0035535F" w:rsidP="0035535F">
      <w:pPr>
        <w:ind w:left="567"/>
        <w:rPr>
          <w:rFonts w:asciiTheme="majorHAnsi" w:eastAsia="Times New Roman" w:hAnsiTheme="majorHAnsi" w:cstheme="majorHAnsi"/>
          <w:sz w:val="24"/>
          <w:szCs w:val="24"/>
        </w:rPr>
      </w:pPr>
    </w:p>
    <w:p w14:paraId="1552EE0F" w14:textId="77777777" w:rsidR="0035535F" w:rsidRPr="0035535F" w:rsidRDefault="0035535F" w:rsidP="0035535F">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p>
    <w:p w14:paraId="29838147" w14:textId="197D6F7C"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 xml:space="preserve">GDPR/data protection policy – </w:t>
      </w:r>
      <w:r w:rsidRPr="00106F17">
        <w:rPr>
          <w:rFonts w:asciiTheme="majorHAnsi" w:hAnsiTheme="majorHAnsi" w:cstheme="majorHAnsi"/>
          <w:sz w:val="24"/>
          <w:szCs w:val="24"/>
        </w:rPr>
        <w:t xml:space="preserve">published </w:t>
      </w:r>
      <w:r w:rsidR="00106F17">
        <w:rPr>
          <w:rFonts w:asciiTheme="majorHAnsi" w:hAnsiTheme="majorHAnsi" w:cstheme="majorHAnsi"/>
          <w:sz w:val="24"/>
          <w:szCs w:val="24"/>
        </w:rPr>
        <w:t xml:space="preserve">on the website (Title page states ‘Data Privacy Notice – </w:t>
      </w:r>
      <w:proofErr w:type="gramStart"/>
      <w:r w:rsidR="00106F17">
        <w:rPr>
          <w:rFonts w:asciiTheme="majorHAnsi" w:hAnsiTheme="majorHAnsi" w:cstheme="majorHAnsi"/>
          <w:sz w:val="24"/>
          <w:szCs w:val="24"/>
        </w:rPr>
        <w:t>this needs</w:t>
      </w:r>
      <w:proofErr w:type="gramEnd"/>
      <w:r w:rsidR="00106F17">
        <w:rPr>
          <w:rFonts w:asciiTheme="majorHAnsi" w:hAnsiTheme="majorHAnsi" w:cstheme="majorHAnsi"/>
          <w:sz w:val="24"/>
          <w:szCs w:val="24"/>
        </w:rPr>
        <w:t xml:space="preserve"> changing to Data Protection Policy)</w:t>
      </w:r>
    </w:p>
    <w:p w14:paraId="197A1AF4" w14:textId="4C207411" w:rsidR="00106F17" w:rsidRPr="00106F17" w:rsidRDefault="0035535F" w:rsidP="00106F17">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Privacy notice</w:t>
      </w:r>
      <w:r w:rsidR="00106F17">
        <w:rPr>
          <w:rFonts w:asciiTheme="majorHAnsi" w:hAnsiTheme="majorHAnsi" w:cstheme="majorHAnsi"/>
          <w:sz w:val="24"/>
          <w:szCs w:val="24"/>
        </w:rPr>
        <w:t xml:space="preserve"> </w:t>
      </w:r>
      <w:r w:rsidRPr="0035535F">
        <w:rPr>
          <w:rFonts w:asciiTheme="majorHAnsi" w:hAnsiTheme="majorHAnsi" w:cstheme="majorHAnsi"/>
          <w:sz w:val="24"/>
          <w:szCs w:val="24"/>
        </w:rPr>
        <w:t xml:space="preserve">– </w:t>
      </w:r>
      <w:r w:rsidRPr="00106F17">
        <w:rPr>
          <w:rFonts w:asciiTheme="majorHAnsi" w:hAnsiTheme="majorHAnsi" w:cstheme="majorHAnsi"/>
          <w:sz w:val="24"/>
          <w:szCs w:val="24"/>
        </w:rPr>
        <w:t xml:space="preserve">Third party suppliers list published </w:t>
      </w:r>
      <w:r w:rsidR="00106F17">
        <w:rPr>
          <w:rFonts w:asciiTheme="majorHAnsi" w:hAnsiTheme="majorHAnsi" w:cstheme="majorHAnsi"/>
          <w:sz w:val="24"/>
          <w:szCs w:val="24"/>
        </w:rPr>
        <w:t>which should be appended to the</w:t>
      </w:r>
      <w:r w:rsidRPr="00106F17">
        <w:rPr>
          <w:rFonts w:asciiTheme="majorHAnsi" w:hAnsiTheme="majorHAnsi" w:cstheme="majorHAnsi"/>
          <w:sz w:val="24"/>
          <w:szCs w:val="24"/>
        </w:rPr>
        <w:t xml:space="preserve"> Privacy Notice</w:t>
      </w:r>
      <w:r w:rsidR="00106F17">
        <w:rPr>
          <w:rFonts w:asciiTheme="majorHAnsi" w:hAnsiTheme="majorHAnsi" w:cstheme="majorHAnsi"/>
          <w:sz w:val="24"/>
          <w:szCs w:val="24"/>
        </w:rPr>
        <w:t xml:space="preserve">, model document available here: </w:t>
      </w:r>
      <w:hyperlink r:id="rId7" w:history="1">
        <w:r w:rsidR="00106F17" w:rsidRPr="006759D6">
          <w:rPr>
            <w:rStyle w:val="Hyperlink"/>
            <w:rFonts w:asciiTheme="majorHAnsi" w:hAnsiTheme="majorHAnsi" w:cstheme="majorHAnsi"/>
            <w:sz w:val="24"/>
            <w:szCs w:val="24"/>
          </w:rPr>
          <w:t>https:/</w:t>
        </w:r>
        <w:r w:rsidR="00106F17" w:rsidRPr="006759D6">
          <w:rPr>
            <w:rStyle w:val="Hyperlink"/>
            <w:rFonts w:asciiTheme="majorHAnsi" w:hAnsiTheme="majorHAnsi" w:cstheme="majorHAnsi"/>
            <w:sz w:val="24"/>
            <w:szCs w:val="24"/>
          </w:rPr>
          <w:t>/</w:t>
        </w:r>
        <w:r w:rsidR="00106F17" w:rsidRPr="006759D6">
          <w:rPr>
            <w:rStyle w:val="Hyperlink"/>
            <w:rFonts w:asciiTheme="majorHAnsi" w:hAnsiTheme="majorHAnsi" w:cstheme="majorHAnsi"/>
            <w:sz w:val="24"/>
            <w:szCs w:val="24"/>
          </w:rPr>
          <w:t>dataprotection.education/best-practice-library/best-practice/transparency</w:t>
        </w:r>
      </w:hyperlink>
      <w:r w:rsidR="00106F17">
        <w:rPr>
          <w:rFonts w:asciiTheme="majorHAnsi" w:hAnsiTheme="majorHAnsi" w:cstheme="majorHAnsi"/>
          <w:sz w:val="24"/>
          <w:szCs w:val="24"/>
        </w:rPr>
        <w:t xml:space="preserve"> - </w:t>
      </w:r>
      <w:r w:rsidR="00106F17" w:rsidRPr="00106F17">
        <w:rPr>
          <w:rFonts w:asciiTheme="majorHAnsi" w:hAnsiTheme="majorHAnsi" w:cstheme="majorHAnsi"/>
          <w:sz w:val="24"/>
          <w:szCs w:val="24"/>
        </w:rPr>
        <w:t>Model notices &amp; resources.</w:t>
      </w:r>
    </w:p>
    <w:p w14:paraId="16F04222" w14:textId="77777777" w:rsidR="0035535F" w:rsidRPr="0035535F" w:rsidRDefault="0035535F" w:rsidP="0035535F">
      <w:pPr>
        <w:ind w:left="567"/>
        <w:rPr>
          <w:rFonts w:asciiTheme="majorHAnsi" w:hAnsiTheme="majorHAnsi" w:cstheme="majorHAnsi"/>
          <w:sz w:val="24"/>
          <w:szCs w:val="24"/>
        </w:rPr>
      </w:pPr>
    </w:p>
    <w:p w14:paraId="1A25BE1D" w14:textId="77777777" w:rsidR="0035535F" w:rsidRPr="0035535F" w:rsidRDefault="0035535F" w:rsidP="0035535F">
      <w:pPr>
        <w:ind w:left="567"/>
        <w:rPr>
          <w:rFonts w:asciiTheme="majorHAnsi" w:hAnsiTheme="majorHAnsi" w:cstheme="majorHAnsi"/>
          <w:sz w:val="24"/>
          <w:szCs w:val="24"/>
        </w:rPr>
      </w:pPr>
      <w:r w:rsidRPr="0035535F">
        <w:rPr>
          <w:rFonts w:asciiTheme="majorHAnsi" w:hAnsiTheme="majorHAnsi" w:cstheme="majorHAnsi"/>
          <w:sz w:val="24"/>
          <w:szCs w:val="24"/>
        </w:rPr>
        <w:t xml:space="preserve">All procedures below are recommended for internal use, but can be published on the website for transparency.  Template documents are available here: </w:t>
      </w:r>
      <w:hyperlink r:id="rId8" w:history="1">
        <w:r w:rsidRPr="0035535F">
          <w:rPr>
            <w:rStyle w:val="Hyperlink"/>
            <w:rFonts w:asciiTheme="majorHAnsi" w:hAnsiTheme="majorHAnsi" w:cstheme="majorHAnsi"/>
            <w:sz w:val="24"/>
            <w:szCs w:val="24"/>
          </w:rPr>
          <w:t>https://dataprotection.education/best-practice-library/best-practice/commitment-to-compliance</w:t>
        </w:r>
      </w:hyperlink>
    </w:p>
    <w:p w14:paraId="34FB1502"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SAR and data breach procedure</w:t>
      </w:r>
    </w:p>
    <w:p w14:paraId="1F61C997"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FOI and publication scheme</w:t>
      </w:r>
    </w:p>
    <w:p w14:paraId="057F73DC"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Supplier/third party list</w:t>
      </w:r>
    </w:p>
    <w:p w14:paraId="058C75C6" w14:textId="77777777" w:rsidR="0035535F" w:rsidRPr="0035535F" w:rsidRDefault="0035535F" w:rsidP="0035535F">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Work away from school policy </w:t>
      </w:r>
    </w:p>
    <w:p w14:paraId="788EDEE7" w14:textId="77777777" w:rsidR="0035535F" w:rsidRPr="0035535F" w:rsidRDefault="00000000" w:rsidP="0035535F">
      <w:pPr>
        <w:numPr>
          <w:ilvl w:val="0"/>
          <w:numId w:val="11"/>
        </w:numPr>
        <w:ind w:left="1134" w:hanging="567"/>
        <w:rPr>
          <w:rFonts w:asciiTheme="majorHAnsi" w:hAnsiTheme="majorHAnsi" w:cstheme="majorHAnsi"/>
          <w:sz w:val="24"/>
          <w:szCs w:val="24"/>
        </w:rPr>
      </w:pPr>
      <w:sdt>
        <w:sdtPr>
          <w:rPr>
            <w:rFonts w:asciiTheme="majorHAnsi" w:hAnsiTheme="majorHAnsi" w:cstheme="majorHAnsi"/>
            <w:sz w:val="24"/>
            <w:szCs w:val="24"/>
          </w:rPr>
          <w:tag w:val="goog_rdk_2"/>
          <w:id w:val="-1969509455"/>
        </w:sdtPr>
        <w:sdtContent/>
      </w:sdt>
      <w:r w:rsidR="0035535F" w:rsidRPr="0035535F">
        <w:rPr>
          <w:rFonts w:asciiTheme="majorHAnsi" w:hAnsiTheme="majorHAnsi" w:cstheme="majorHAnsi"/>
          <w:sz w:val="24"/>
          <w:szCs w:val="24"/>
        </w:rPr>
        <w:t xml:space="preserve">Information classification </w:t>
      </w:r>
    </w:p>
    <w:p w14:paraId="1C0A4A0B" w14:textId="77777777" w:rsidR="0035535F" w:rsidRPr="0035535F" w:rsidRDefault="0035535F" w:rsidP="0035535F">
      <w:pPr>
        <w:numPr>
          <w:ilvl w:val="0"/>
          <w:numId w:val="11"/>
        </w:numPr>
        <w:ind w:left="1134" w:hanging="567"/>
        <w:rPr>
          <w:rFonts w:asciiTheme="majorHAnsi" w:hAnsiTheme="majorHAnsi" w:cstheme="majorHAnsi"/>
          <w:sz w:val="24"/>
          <w:szCs w:val="24"/>
        </w:rPr>
      </w:pPr>
      <w:r w:rsidRPr="0035535F">
        <w:rPr>
          <w:rFonts w:asciiTheme="majorHAnsi" w:hAnsiTheme="majorHAnsi" w:cstheme="majorHAnsi"/>
          <w:sz w:val="24"/>
          <w:szCs w:val="24"/>
        </w:rPr>
        <w:t>Review of consent documentation – Photo and Video Consent</w:t>
      </w:r>
    </w:p>
    <w:p w14:paraId="51C740DE" w14:textId="2BF07A67" w:rsidR="0035535F" w:rsidRDefault="0035535F" w:rsidP="0035535F">
      <w:pPr>
        <w:rPr>
          <w:rFonts w:asciiTheme="majorHAnsi" w:eastAsia="Times New Roman" w:hAnsiTheme="majorHAnsi" w:cstheme="majorHAnsi"/>
          <w:sz w:val="24"/>
          <w:szCs w:val="24"/>
        </w:rPr>
      </w:pPr>
    </w:p>
    <w:p w14:paraId="64105951" w14:textId="5E1D6531"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51BDA72D" w14:textId="335ED9DB" w:rsidR="00A16D68" w:rsidRDefault="0035535F" w:rsidP="00106F17">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p>
    <w:p w14:paraId="58D86280" w14:textId="61107576" w:rsidR="00106F17" w:rsidRDefault="00106F17" w:rsidP="00106F17">
      <w:pPr>
        <w:ind w:left="567"/>
        <w:rPr>
          <w:rFonts w:asciiTheme="majorHAnsi" w:hAnsiTheme="majorHAnsi" w:cstheme="majorHAnsi"/>
          <w:color w:val="000000"/>
          <w:sz w:val="24"/>
          <w:szCs w:val="24"/>
        </w:rPr>
      </w:pPr>
      <w:r>
        <w:rPr>
          <w:rFonts w:asciiTheme="majorHAnsi" w:hAnsiTheme="majorHAnsi" w:cstheme="majorHAnsi"/>
          <w:color w:val="000000"/>
          <w:sz w:val="24"/>
          <w:szCs w:val="24"/>
        </w:rPr>
        <w:lastRenderedPageBreak/>
        <w:t>You can check the status of each course for individuals to check their date of completion and score: Dashboard – (scroll to the bottom) Reports – Single Course – select each course from the drop-down to view details.</w:t>
      </w:r>
    </w:p>
    <w:p w14:paraId="4F771911" w14:textId="27097BEA" w:rsidR="00106F17" w:rsidRDefault="00106F17" w:rsidP="00106F17">
      <w:pPr>
        <w:ind w:left="567"/>
        <w:rPr>
          <w:rFonts w:asciiTheme="majorHAnsi" w:hAnsiTheme="majorHAnsi" w:cstheme="majorHAnsi"/>
          <w:color w:val="000000"/>
          <w:sz w:val="24"/>
          <w:szCs w:val="24"/>
        </w:rPr>
      </w:pPr>
    </w:p>
    <w:p w14:paraId="31E39893" w14:textId="619FE99D" w:rsidR="00106F17" w:rsidRDefault="00106F17" w:rsidP="00106F17">
      <w:pPr>
        <w:ind w:left="567"/>
        <w:rPr>
          <w:rFonts w:asciiTheme="majorHAnsi" w:hAnsiTheme="majorHAnsi" w:cstheme="majorHAnsi"/>
          <w:b/>
          <w:color w:val="0591B4"/>
          <w:sz w:val="28"/>
          <w:szCs w:val="28"/>
          <w:highlight w:val="white"/>
        </w:rPr>
      </w:pPr>
      <w:r>
        <w:rPr>
          <w:rFonts w:asciiTheme="majorHAnsi" w:hAnsiTheme="majorHAnsi" w:cstheme="majorHAnsi"/>
          <w:color w:val="000000"/>
          <w:sz w:val="24"/>
          <w:szCs w:val="24"/>
        </w:rPr>
        <w:t>Good uptake on courses in 2020, Tania will be assigning refreshers for all staff during December/January.</w:t>
      </w:r>
    </w:p>
    <w:p w14:paraId="3B2C4473" w14:textId="0A7E891D" w:rsidR="00106F17" w:rsidRDefault="00106F17" w:rsidP="00106F17">
      <w:pPr>
        <w:ind w:left="567"/>
        <w:rPr>
          <w:rFonts w:asciiTheme="majorHAnsi" w:hAnsiTheme="majorHAnsi" w:cstheme="majorHAnsi"/>
          <w:b/>
          <w:color w:val="0591B4"/>
          <w:sz w:val="28"/>
          <w:szCs w:val="28"/>
          <w:highlight w:val="white"/>
        </w:rPr>
      </w:pPr>
    </w:p>
    <w:p w14:paraId="232CBC43" w14:textId="3A0A84FA"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47A2862F" w14:textId="3ABF6767" w:rsidR="00106F17" w:rsidRDefault="0038215C" w:rsidP="0038215C">
      <w:pPr>
        <w:ind w:left="568"/>
      </w:pPr>
      <w:r w:rsidRPr="0038215C">
        <w:rPr>
          <w:rFonts w:ascii="Calibri" w:eastAsia="Calibri" w:hAnsi="Calibri" w:cs="Calibri"/>
          <w:sz w:val="24"/>
          <w:szCs w:val="24"/>
          <w:highlight w:val="white"/>
        </w:rPr>
        <w:t xml:space="preserve">Do you have a Data Retention Policy in place? There are resources available here if required: </w:t>
      </w:r>
      <w:hyperlink r:id="rId9" w:history="1">
        <w:r w:rsidR="00106F17" w:rsidRPr="006759D6">
          <w:rPr>
            <w:rStyle w:val="Hyperlink"/>
          </w:rPr>
          <w:t>https://dataprotection.education/best-practice-library/best-practice/records-management</w:t>
        </w:r>
      </w:hyperlink>
    </w:p>
    <w:p w14:paraId="675E6926" w14:textId="3729D549" w:rsidR="00106F17" w:rsidRDefault="00106F17" w:rsidP="0038215C">
      <w:pPr>
        <w:ind w:left="568"/>
        <w:rPr>
          <w:rFonts w:ascii="Calibri" w:eastAsia="Calibri" w:hAnsi="Calibri" w:cs="Calibri"/>
          <w:sz w:val="24"/>
          <w:szCs w:val="24"/>
        </w:rPr>
      </w:pPr>
    </w:p>
    <w:p w14:paraId="5AE8116F" w14:textId="64AAE0DF" w:rsidR="00106F17" w:rsidRDefault="00106F17" w:rsidP="0038215C">
      <w:pPr>
        <w:ind w:left="568"/>
        <w:rPr>
          <w:rFonts w:ascii="Calibri" w:hAnsi="Calibri" w:cs="Calibri"/>
          <w:sz w:val="24"/>
          <w:szCs w:val="24"/>
        </w:rPr>
      </w:pPr>
      <w:r>
        <w:rPr>
          <w:rFonts w:ascii="Calibri" w:eastAsia="Calibri" w:hAnsi="Calibri" w:cs="Calibri"/>
          <w:sz w:val="24"/>
          <w:szCs w:val="24"/>
        </w:rPr>
        <w:t>I have also attached the IRMS Toolkit for your information</w:t>
      </w:r>
      <w:r w:rsidR="00273093">
        <w:rPr>
          <w:rFonts w:ascii="Calibri" w:eastAsia="Calibri" w:hAnsi="Calibri" w:cs="Calibri"/>
          <w:sz w:val="24"/>
          <w:szCs w:val="24"/>
        </w:rPr>
        <w:t xml:space="preserve"> – this has a break down of all categories of data and the recommended retention.</w:t>
      </w:r>
    </w:p>
    <w:p w14:paraId="62F760F1" w14:textId="0A81C7EC" w:rsidR="0038215C" w:rsidRPr="0038215C" w:rsidRDefault="0038215C" w:rsidP="0038215C">
      <w:pPr>
        <w:ind w:left="568"/>
        <w:rPr>
          <w:rFonts w:ascii="Calibri" w:eastAsia="Calibri" w:hAnsi="Calibri" w:cs="Calibri"/>
          <w:sz w:val="24"/>
          <w:szCs w:val="24"/>
          <w:highlight w:val="white"/>
        </w:rPr>
      </w:pPr>
      <w:r w:rsidRPr="0038215C">
        <w:rPr>
          <w:rFonts w:ascii="Calibri" w:eastAsia="Calibri" w:hAnsi="Calibri" w:cs="Calibri"/>
          <w:sz w:val="24"/>
          <w:szCs w:val="24"/>
          <w:highlight w:val="white"/>
        </w:rPr>
        <w:t xml:space="preserve"> </w:t>
      </w:r>
    </w:p>
    <w:p w14:paraId="474EE7CD" w14:textId="3692FF7F" w:rsidR="0038215C" w:rsidRDefault="0038215C" w:rsidP="0038215C">
      <w:pPr>
        <w:ind w:left="568"/>
        <w:rPr>
          <w:rFonts w:ascii="Calibri" w:eastAsia="Calibri" w:hAnsi="Calibri" w:cs="Calibri"/>
          <w:sz w:val="24"/>
          <w:szCs w:val="24"/>
          <w:highlight w:val="white"/>
        </w:rPr>
      </w:pPr>
      <w:r w:rsidRPr="0038215C">
        <w:rPr>
          <w:rFonts w:ascii="Calibri" w:eastAsia="Calibri" w:hAnsi="Calibri" w:cs="Calibri"/>
          <w:sz w:val="24"/>
          <w:szCs w:val="24"/>
          <w:highlight w:val="white"/>
        </w:rPr>
        <w:t xml:space="preserve">There are </w:t>
      </w:r>
      <w:r w:rsidRPr="0038215C">
        <w:rPr>
          <w:rFonts w:ascii="Calibri" w:eastAsia="Calibri" w:hAnsi="Calibri" w:cs="Calibri"/>
          <w:b/>
          <w:sz w:val="24"/>
          <w:szCs w:val="24"/>
          <w:highlight w:val="white"/>
        </w:rPr>
        <w:t>two key factors:</w:t>
      </w:r>
      <w:r w:rsidRPr="0038215C">
        <w:rPr>
          <w:rFonts w:ascii="Calibri" w:eastAsia="Calibri" w:hAnsi="Calibri" w:cs="Calibri"/>
          <w:sz w:val="24"/>
          <w:szCs w:val="24"/>
          <w:highlight w:val="white"/>
        </w:rPr>
        <w:t xml:space="preserve"> the</w:t>
      </w:r>
      <w:r w:rsidRPr="0038215C">
        <w:rPr>
          <w:rFonts w:ascii="Calibri" w:eastAsia="Calibri" w:hAnsi="Calibri" w:cs="Calibri"/>
          <w:b/>
          <w:sz w:val="24"/>
          <w:szCs w:val="24"/>
          <w:highlight w:val="white"/>
        </w:rPr>
        <w:t xml:space="preserve"> purpose </w:t>
      </w:r>
      <w:r w:rsidRPr="0038215C">
        <w:rPr>
          <w:rFonts w:ascii="Calibri" w:eastAsia="Calibri" w:hAnsi="Calibri" w:cs="Calibri"/>
          <w:sz w:val="24"/>
          <w:szCs w:val="24"/>
          <w:highlight w:val="white"/>
        </w:rPr>
        <w:t xml:space="preserve">for processing the data, and any </w:t>
      </w:r>
      <w:r w:rsidRPr="0038215C">
        <w:rPr>
          <w:rFonts w:ascii="Calibri" w:eastAsia="Calibri" w:hAnsi="Calibri" w:cs="Calibri"/>
          <w:b/>
          <w:sz w:val="24"/>
          <w:szCs w:val="24"/>
          <w:highlight w:val="white"/>
        </w:rPr>
        <w:t xml:space="preserve">legal or regulatory requirements </w:t>
      </w:r>
      <w:r w:rsidRPr="0038215C">
        <w:rPr>
          <w:rFonts w:ascii="Calibri" w:eastAsia="Calibri" w:hAnsi="Calibri" w:cs="Calibri"/>
          <w:sz w:val="24"/>
          <w:szCs w:val="24"/>
          <w:highlight w:val="white"/>
        </w:rPr>
        <w:t xml:space="preserve">for </w:t>
      </w:r>
      <w:r w:rsidRPr="0038215C">
        <w:rPr>
          <w:rFonts w:ascii="Calibri" w:eastAsia="Calibri" w:hAnsi="Calibri" w:cs="Calibri"/>
          <w:b/>
          <w:sz w:val="24"/>
          <w:szCs w:val="24"/>
          <w:highlight w:val="white"/>
        </w:rPr>
        <w:t xml:space="preserve">retaining it. </w:t>
      </w:r>
      <w:r w:rsidRPr="0038215C">
        <w:rPr>
          <w:rFonts w:ascii="Calibri" w:eastAsia="Calibri" w:hAnsi="Calibri" w:cs="Calibri"/>
          <w:sz w:val="24"/>
          <w:szCs w:val="24"/>
          <w:highlight w:val="white"/>
        </w:rPr>
        <w:t xml:space="preserve">One of your purposes will need to apply for you to continue to store the data. Data should not be held for longer than is needed. You shouldn’t just keep data just in case you may need it in the future. </w:t>
      </w:r>
    </w:p>
    <w:p w14:paraId="4060705F" w14:textId="4EC3C00E" w:rsidR="00A16D68" w:rsidRDefault="00A16D68" w:rsidP="0038215C">
      <w:pPr>
        <w:ind w:left="568"/>
        <w:rPr>
          <w:rFonts w:ascii="Calibri" w:eastAsia="Calibri" w:hAnsi="Calibri" w:cs="Calibri"/>
          <w:sz w:val="24"/>
          <w:szCs w:val="24"/>
          <w:highlight w:val="white"/>
        </w:rPr>
      </w:pPr>
    </w:p>
    <w:p w14:paraId="3D2D4B17" w14:textId="77777777" w:rsidR="0038215C" w:rsidRDefault="0038215C" w:rsidP="0038215C">
      <w:pPr>
        <w:ind w:left="567"/>
        <w:rPr>
          <w:rFonts w:asciiTheme="majorHAnsi" w:hAnsiTheme="majorHAnsi" w:cstheme="majorHAnsi"/>
          <w:b/>
          <w:color w:val="0591B4"/>
          <w:sz w:val="28"/>
          <w:szCs w:val="28"/>
          <w:highlight w:val="white"/>
        </w:rPr>
      </w:pPr>
    </w:p>
    <w:p w14:paraId="409C2B2F" w14:textId="094F2AE5" w:rsidR="0038215C" w:rsidRDefault="0038215C"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63D8E282" w14:textId="77777777" w:rsidR="00F5307D" w:rsidRDefault="00F5307D" w:rsidP="00B32637">
      <w:pPr>
        <w:shd w:val="clear" w:color="auto" w:fill="FFFFFF"/>
        <w:ind w:left="567"/>
        <w:rPr>
          <w:rFonts w:asciiTheme="majorHAnsi" w:hAnsiTheme="majorHAnsi" w:cstheme="majorHAnsi"/>
          <w:color w:val="222222"/>
          <w:sz w:val="24"/>
          <w:szCs w:val="24"/>
        </w:rPr>
      </w:pPr>
    </w:p>
    <w:p w14:paraId="62F64D94" w14:textId="2F7CDA8B"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1E0B0EEB" w14:textId="77777777" w:rsidR="00B32637" w:rsidRPr="00B32637" w:rsidRDefault="00000000" w:rsidP="00B32637">
      <w:pPr>
        <w:shd w:val="clear" w:color="auto" w:fill="FFFFFF"/>
        <w:ind w:left="567"/>
        <w:rPr>
          <w:rFonts w:asciiTheme="majorHAnsi" w:eastAsia="Times New Roman" w:hAnsiTheme="majorHAnsi" w:cstheme="majorHAnsi"/>
          <w:sz w:val="24"/>
          <w:szCs w:val="24"/>
        </w:rPr>
      </w:pPr>
      <w:hyperlink r:id="rId10">
        <w:r w:rsidR="00B32637" w:rsidRPr="00B32637">
          <w:rPr>
            <w:rFonts w:asciiTheme="majorHAnsi" w:hAnsiTheme="majorHAnsi" w:cstheme="majorHAnsi"/>
            <w:color w:val="1155CC"/>
            <w:sz w:val="24"/>
            <w:szCs w:val="24"/>
            <w:u w:val="single"/>
          </w:rPr>
          <w:t>https://dataprotection.education/best-practice-library/documents/information-technology-security</w:t>
        </w:r>
      </w:hyperlink>
      <w:r w:rsidR="00B32637" w:rsidRPr="00B32637">
        <w:rPr>
          <w:rFonts w:asciiTheme="majorHAnsi" w:hAnsiTheme="majorHAnsi" w:cstheme="majorHAnsi"/>
          <w:color w:val="222222"/>
          <w:sz w:val="24"/>
          <w:szCs w:val="24"/>
        </w:rPr>
        <w:t> </w:t>
      </w:r>
    </w:p>
    <w:p w14:paraId="29481348"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4D1876B0" w14:textId="77777777"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w:t>
      </w:r>
      <w:proofErr w:type="spellStart"/>
      <w:r w:rsidRPr="00B32637">
        <w:rPr>
          <w:rFonts w:asciiTheme="majorHAnsi" w:hAnsiTheme="majorHAnsi" w:cstheme="majorHAnsi"/>
          <w:color w:val="222222"/>
          <w:sz w:val="24"/>
          <w:szCs w:val="24"/>
        </w:rPr>
        <w:t>organisation</w:t>
      </w:r>
      <w:proofErr w:type="spellEnd"/>
      <w:r w:rsidRPr="00B32637">
        <w:rPr>
          <w:rFonts w:asciiTheme="majorHAnsi" w:hAnsiTheme="majorHAnsi" w:cstheme="majorHAnsi"/>
          <w:color w:val="222222"/>
          <w:sz w:val="24"/>
          <w:szCs w:val="24"/>
        </w:rPr>
        <w:t xml:space="preserve"> but also for staff when accessing personal information online </w:t>
      </w:r>
      <w:proofErr w:type="gramStart"/>
      <w:r w:rsidRPr="00B32637">
        <w:rPr>
          <w:rFonts w:asciiTheme="majorHAnsi" w:hAnsiTheme="majorHAnsi" w:cstheme="majorHAnsi"/>
          <w:color w:val="222222"/>
          <w:sz w:val="24"/>
          <w:szCs w:val="24"/>
        </w:rPr>
        <w:t>i.e.</w:t>
      </w:r>
      <w:proofErr w:type="gramEnd"/>
      <w:r w:rsidRPr="00B32637">
        <w:rPr>
          <w:rFonts w:asciiTheme="majorHAnsi" w:hAnsiTheme="majorHAnsi" w:cstheme="majorHAnsi"/>
          <w:color w:val="222222"/>
          <w:sz w:val="24"/>
          <w:szCs w:val="24"/>
        </w:rPr>
        <w:t xml:space="preserve"> personal banking: </w:t>
      </w:r>
    </w:p>
    <w:p w14:paraId="3E8E2D5B" w14:textId="77777777" w:rsidR="00B32637" w:rsidRPr="00B32637" w:rsidRDefault="00000000" w:rsidP="00B32637">
      <w:pPr>
        <w:shd w:val="clear" w:color="auto" w:fill="FFFFFF"/>
        <w:ind w:left="567"/>
        <w:rPr>
          <w:rFonts w:asciiTheme="majorHAnsi" w:eastAsia="Times New Roman" w:hAnsiTheme="majorHAnsi" w:cstheme="majorHAnsi"/>
          <w:sz w:val="24"/>
          <w:szCs w:val="24"/>
        </w:rPr>
      </w:pPr>
      <w:hyperlink r:id="rId11">
        <w:r w:rsidR="00B32637" w:rsidRPr="00B32637">
          <w:rPr>
            <w:rFonts w:asciiTheme="majorHAnsi" w:hAnsiTheme="majorHAnsi" w:cstheme="majorHAnsi"/>
            <w:color w:val="0000FF"/>
            <w:sz w:val="24"/>
            <w:szCs w:val="24"/>
            <w:u w:val="single"/>
          </w:rPr>
          <w:t>https://dataprotection.education/courses-heading/stay-safe-online-ncsc</w:t>
        </w:r>
      </w:hyperlink>
      <w:r w:rsidR="00B32637" w:rsidRPr="00B32637">
        <w:rPr>
          <w:rFonts w:asciiTheme="majorHAnsi" w:hAnsiTheme="majorHAnsi" w:cstheme="majorHAnsi"/>
          <w:color w:val="222222"/>
          <w:sz w:val="24"/>
          <w:szCs w:val="24"/>
        </w:rPr>
        <w:t> </w:t>
      </w:r>
    </w:p>
    <w:p w14:paraId="6F6ED9B7"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0AA343A2" w14:textId="77777777" w:rsidR="00B32637" w:rsidRPr="00B32637" w:rsidRDefault="00B32637" w:rsidP="00B32637">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2">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346664F6"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573BF34E" w14:textId="77777777" w:rsidR="00B32637" w:rsidRPr="00B32637" w:rsidRDefault="00B32637" w:rsidP="00B32637">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3">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31F1CB2F" w14:textId="77777777" w:rsidR="00B32637" w:rsidRPr="00B32637" w:rsidRDefault="00B32637" w:rsidP="00B32637">
      <w:pPr>
        <w:numPr>
          <w:ilvl w:val="0"/>
          <w:numId w:val="14"/>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4">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792224EB" w14:textId="240C875E" w:rsidR="0035535F" w:rsidRPr="00B32637" w:rsidRDefault="00B32637" w:rsidP="00B32637">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5">
        <w:r w:rsidRPr="00B32637">
          <w:rPr>
            <w:rFonts w:asciiTheme="majorHAnsi" w:hAnsiTheme="majorHAnsi" w:cstheme="majorHAnsi"/>
            <w:color w:val="1155CC"/>
            <w:sz w:val="24"/>
            <w:szCs w:val="24"/>
            <w:u w:val="single"/>
          </w:rPr>
          <w:t>https://www.ncsc.gov.uk/information/school-governor-questions</w:t>
        </w:r>
      </w:hyperlink>
    </w:p>
    <w:p w14:paraId="590FE0FC" w14:textId="2FDF5458" w:rsidR="00B32637" w:rsidRDefault="00B32637" w:rsidP="00B32637">
      <w:pPr>
        <w:ind w:left="567"/>
        <w:rPr>
          <w:rFonts w:asciiTheme="majorHAnsi" w:hAnsiTheme="majorHAnsi" w:cstheme="majorHAnsi"/>
          <w:b/>
          <w:color w:val="0591B4"/>
          <w:sz w:val="28"/>
          <w:szCs w:val="28"/>
          <w:highlight w:val="white"/>
        </w:rPr>
      </w:pPr>
    </w:p>
    <w:p w14:paraId="25B382DF" w14:textId="72B062C0" w:rsidR="00273093" w:rsidRDefault="00273093" w:rsidP="00B32637">
      <w:pPr>
        <w:ind w:left="567"/>
        <w:rPr>
          <w:rFonts w:asciiTheme="majorHAnsi" w:hAnsiTheme="majorHAnsi" w:cstheme="majorHAnsi"/>
          <w:b/>
          <w:color w:val="0591B4"/>
          <w:sz w:val="28"/>
          <w:szCs w:val="28"/>
          <w:highlight w:val="white"/>
        </w:rPr>
      </w:pPr>
    </w:p>
    <w:p w14:paraId="73C9535D" w14:textId="0D8FFB1E" w:rsidR="00273093" w:rsidRDefault="00273093" w:rsidP="00B32637">
      <w:pPr>
        <w:ind w:left="567"/>
        <w:rPr>
          <w:rFonts w:asciiTheme="majorHAnsi" w:hAnsiTheme="majorHAnsi" w:cstheme="majorHAnsi"/>
          <w:b/>
          <w:color w:val="0591B4"/>
          <w:sz w:val="28"/>
          <w:szCs w:val="28"/>
          <w:highlight w:val="white"/>
        </w:rPr>
      </w:pPr>
    </w:p>
    <w:p w14:paraId="67A169C4" w14:textId="77777777" w:rsidR="00273093" w:rsidRDefault="00273093" w:rsidP="00B32637">
      <w:pPr>
        <w:ind w:left="567"/>
        <w:rPr>
          <w:rFonts w:asciiTheme="majorHAnsi" w:hAnsiTheme="majorHAnsi" w:cstheme="majorHAnsi"/>
          <w:b/>
          <w:color w:val="0591B4"/>
          <w:sz w:val="28"/>
          <w:szCs w:val="28"/>
          <w:highlight w:val="white"/>
        </w:rPr>
      </w:pPr>
    </w:p>
    <w:p w14:paraId="1CFEA1F6" w14:textId="61035CE6" w:rsidR="0035535F" w:rsidRDefault="0035535F"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5D2B6A5D" w14:textId="09178EFA" w:rsidR="0038215C" w:rsidRPr="0038215C" w:rsidRDefault="00273093" w:rsidP="0038215C">
      <w:pPr>
        <w:shd w:val="clear" w:color="auto" w:fill="FFFFFF"/>
        <w:ind w:left="568"/>
        <w:rPr>
          <w:rFonts w:ascii="Calibri" w:eastAsia="Calibri" w:hAnsi="Calibri" w:cs="Calibri"/>
          <w:sz w:val="24"/>
          <w:szCs w:val="24"/>
        </w:rPr>
      </w:pPr>
      <w:r>
        <w:rPr>
          <w:rFonts w:ascii="Calibri" w:eastAsia="Calibri" w:hAnsi="Calibri" w:cs="Calibri"/>
          <w:sz w:val="24"/>
          <w:szCs w:val="24"/>
        </w:rPr>
        <w:t>Tania has undertaken a ‘making the rounds’ walk and will be conducting another following the staff training ‘Clear Desk’ course.  No high-risk visible data but some areas for improvement in good practice identified.</w:t>
      </w:r>
      <w:r w:rsidR="0038215C" w:rsidRPr="0038215C">
        <w:rPr>
          <w:rFonts w:ascii="Calibri" w:eastAsia="Calibri" w:hAnsi="Calibri" w:cs="Calibri"/>
          <w:sz w:val="24"/>
          <w:szCs w:val="24"/>
        </w:rPr>
        <w:t xml:space="preserve"> </w:t>
      </w:r>
    </w:p>
    <w:p w14:paraId="659C6C4A" w14:textId="77777777" w:rsidR="0038215C" w:rsidRPr="0038215C" w:rsidRDefault="0038215C" w:rsidP="0038215C">
      <w:pPr>
        <w:ind w:left="568"/>
        <w:rPr>
          <w:rFonts w:ascii="Calibri" w:eastAsia="Calibri" w:hAnsi="Calibri" w:cs="Calibri"/>
          <w:sz w:val="24"/>
          <w:szCs w:val="24"/>
        </w:rPr>
      </w:pPr>
    </w:p>
    <w:p w14:paraId="3CF35269" w14:textId="77777777" w:rsidR="0038215C" w:rsidRPr="0038215C" w:rsidRDefault="0038215C" w:rsidP="0038215C">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proofErr w:type="gramStart"/>
      <w:r w:rsidRPr="0038215C">
        <w:rPr>
          <w:rFonts w:ascii="Calibri" w:eastAsia="Calibri" w:hAnsi="Calibri" w:cs="Calibri"/>
          <w:sz w:val="24"/>
          <w:szCs w:val="24"/>
        </w:rPr>
        <w:t>i.e.</w:t>
      </w:r>
      <w:proofErr w:type="gramEnd"/>
      <w:r w:rsidRPr="0038215C">
        <w:rPr>
          <w:rFonts w:ascii="Calibri" w:eastAsia="Calibri" w:hAnsi="Calibri" w:cs="Calibri"/>
          <w:sz w:val="24"/>
          <w:szCs w:val="24"/>
        </w:rPr>
        <w:t xml:space="preserve"> clear desks and locking laptops etc. This is an ideal way to keep staff focused with the latest data protection issues.  If you wish to display posters, we have ‘drip feeds’ available in our resources section: </w:t>
      </w:r>
      <w:hyperlink r:id="rId16" w:history="1">
        <w:r>
          <w:rPr>
            <w:rStyle w:val="Hyperlink"/>
          </w:rPr>
          <w:t>Drip Feeds - posters (</w:t>
        </w:r>
        <w:proofErr w:type="spellStart"/>
        <w:proofErr w:type="gramStart"/>
        <w:r>
          <w:rPr>
            <w:rStyle w:val="Hyperlink"/>
          </w:rPr>
          <w:t>dataprotection.education</w:t>
        </w:r>
        <w:proofErr w:type="spellEnd"/>
        <w:proofErr w:type="gramEnd"/>
        <w:r>
          <w:rPr>
            <w:rStyle w:val="Hyperlink"/>
          </w:rPr>
          <w:t>)</w:t>
        </w:r>
      </w:hyperlink>
      <w:r w:rsidRPr="0038215C">
        <w:rPr>
          <w:rFonts w:ascii="Calibri" w:eastAsia="Calibri" w:hAnsi="Calibri" w:cs="Calibri"/>
          <w:sz w:val="24"/>
          <w:szCs w:val="24"/>
        </w:rPr>
        <w:t xml:space="preserve"> </w:t>
      </w:r>
    </w:p>
    <w:p w14:paraId="65A59B83" w14:textId="77777777" w:rsidR="0038215C" w:rsidRDefault="0038215C" w:rsidP="0038215C">
      <w:pPr>
        <w:ind w:left="567"/>
        <w:rPr>
          <w:rFonts w:asciiTheme="majorHAnsi" w:hAnsiTheme="majorHAnsi" w:cstheme="majorHAnsi"/>
          <w:b/>
          <w:color w:val="0591B4"/>
          <w:sz w:val="28"/>
          <w:szCs w:val="28"/>
          <w:highlight w:val="white"/>
        </w:rPr>
      </w:pPr>
    </w:p>
    <w:p w14:paraId="36360074" w14:textId="44B4C2E5" w:rsidR="0038215C" w:rsidRPr="0035535F" w:rsidRDefault="0038215C" w:rsidP="0035535F">
      <w:pPr>
        <w:numPr>
          <w:ilvl w:val="0"/>
          <w:numId w:val="12"/>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16A9416A" w14:textId="287BD5CD" w:rsidR="00800627" w:rsidRPr="00926133" w:rsidRDefault="0038215C"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w:t>
      </w:r>
      <w:r w:rsidR="00B922DE">
        <w:rPr>
          <w:rFonts w:ascii="Calibri" w:eastAsia="Calibri" w:hAnsi="Calibri" w:cs="Calibri"/>
          <w:sz w:val="24"/>
          <w:szCs w:val="24"/>
        </w:rPr>
        <w:t>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17" w:history="1">
        <w:r w:rsidR="00CF034D" w:rsidRPr="00CF034D">
          <w:rPr>
            <w:rStyle w:val="Hyperlink"/>
            <w:rFonts w:asciiTheme="majorHAnsi" w:hAnsiTheme="majorHAnsi" w:cstheme="majorHAnsi"/>
            <w:sz w:val="24"/>
            <w:szCs w:val="24"/>
          </w:rPr>
          <w:t>Best practice checklist (</w:t>
        </w:r>
        <w:proofErr w:type="spellStart"/>
        <w:proofErr w:type="gramStart"/>
        <w:r w:rsidR="00CF034D" w:rsidRPr="00CF034D">
          <w:rPr>
            <w:rStyle w:val="Hyperlink"/>
            <w:rFonts w:asciiTheme="majorHAnsi" w:hAnsiTheme="majorHAnsi" w:cstheme="majorHAnsi"/>
            <w:sz w:val="24"/>
            <w:szCs w:val="24"/>
          </w:rPr>
          <w:t>dataprotection.education</w:t>
        </w:r>
        <w:proofErr w:type="spellEnd"/>
        <w:proofErr w:type="gram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r w:rsidR="00273093">
        <w:rPr>
          <w:rFonts w:asciiTheme="majorHAnsi" w:eastAsia="Calibri" w:hAnsiTheme="majorHAnsi" w:cstheme="majorHAnsi"/>
          <w:sz w:val="24"/>
          <w:szCs w:val="24"/>
        </w:rPr>
        <w:t xml:space="preserve">  We updated this further during the remote session.</w:t>
      </w:r>
    </w:p>
    <w:p w14:paraId="403B54A6" w14:textId="1122A09A" w:rsidR="00CD04DC" w:rsidRDefault="00CD04DC" w:rsidP="00F6187D">
      <w:pPr>
        <w:widowControl w:val="0"/>
        <w:ind w:left="567"/>
        <w:rPr>
          <w:rFonts w:ascii="Calibri" w:eastAsia="Calibri" w:hAnsi="Calibri" w:cs="Calibri"/>
          <w:sz w:val="24"/>
          <w:szCs w:val="24"/>
        </w:rPr>
      </w:pPr>
    </w:p>
    <w:sectPr w:rsidR="00CD04DC" w:rsidSect="0035535F">
      <w:headerReference w:type="default" r:id="rId18"/>
      <w:pgSz w:w="12240" w:h="15840"/>
      <w:pgMar w:top="720" w:right="720" w:bottom="1276"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5F65C" w14:textId="77777777" w:rsidR="00056145" w:rsidRDefault="00056145">
      <w:r>
        <w:separator/>
      </w:r>
    </w:p>
  </w:endnote>
  <w:endnote w:type="continuationSeparator" w:id="0">
    <w:p w14:paraId="192B0E8A" w14:textId="77777777" w:rsidR="00056145" w:rsidRDefault="00056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F4987" w14:textId="77777777" w:rsidR="00056145" w:rsidRDefault="00056145">
      <w:r>
        <w:separator/>
      </w:r>
    </w:p>
  </w:footnote>
  <w:footnote w:type="continuationSeparator" w:id="0">
    <w:p w14:paraId="5FF7949B" w14:textId="77777777" w:rsidR="00056145" w:rsidRDefault="00056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2A523C"/>
    <w:multiLevelType w:val="hybridMultilevel"/>
    <w:tmpl w:val="1BB2EB2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4"/>
  </w:num>
  <w:num w:numId="2" w16cid:durableId="1174494744">
    <w:abstractNumId w:val="8"/>
  </w:num>
  <w:num w:numId="3" w16cid:durableId="692535537">
    <w:abstractNumId w:val="6"/>
  </w:num>
  <w:num w:numId="4" w16cid:durableId="106900427">
    <w:abstractNumId w:val="5"/>
  </w:num>
  <w:num w:numId="5" w16cid:durableId="1456950661">
    <w:abstractNumId w:val="7"/>
  </w:num>
  <w:num w:numId="6" w16cid:durableId="1549603502">
    <w:abstractNumId w:val="11"/>
  </w:num>
  <w:num w:numId="7" w16cid:durableId="2102943015">
    <w:abstractNumId w:val="13"/>
  </w:num>
  <w:num w:numId="8" w16cid:durableId="1276863544">
    <w:abstractNumId w:val="2"/>
  </w:num>
  <w:num w:numId="9" w16cid:durableId="301736730">
    <w:abstractNumId w:val="10"/>
  </w:num>
  <w:num w:numId="10" w16cid:durableId="180515228">
    <w:abstractNumId w:val="0"/>
  </w:num>
  <w:num w:numId="11" w16cid:durableId="909510063">
    <w:abstractNumId w:val="3"/>
  </w:num>
  <w:num w:numId="12" w16cid:durableId="800149314">
    <w:abstractNumId w:val="9"/>
  </w:num>
  <w:num w:numId="13" w16cid:durableId="1410345056">
    <w:abstractNumId w:val="1"/>
  </w:num>
  <w:num w:numId="14" w16cid:durableId="1315526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56145"/>
    <w:rsid w:val="00081593"/>
    <w:rsid w:val="00105E19"/>
    <w:rsid w:val="00106F17"/>
    <w:rsid w:val="00113374"/>
    <w:rsid w:val="0014136A"/>
    <w:rsid w:val="00195D96"/>
    <w:rsid w:val="00202CE1"/>
    <w:rsid w:val="00273093"/>
    <w:rsid w:val="002C0202"/>
    <w:rsid w:val="002D100A"/>
    <w:rsid w:val="0030017F"/>
    <w:rsid w:val="003411E3"/>
    <w:rsid w:val="00345C75"/>
    <w:rsid w:val="0035535F"/>
    <w:rsid w:val="0038215C"/>
    <w:rsid w:val="00382CF8"/>
    <w:rsid w:val="003A2B0A"/>
    <w:rsid w:val="003C32F2"/>
    <w:rsid w:val="00403B35"/>
    <w:rsid w:val="00413B38"/>
    <w:rsid w:val="00445379"/>
    <w:rsid w:val="00461F74"/>
    <w:rsid w:val="0049258F"/>
    <w:rsid w:val="004A35E8"/>
    <w:rsid w:val="004C4DDE"/>
    <w:rsid w:val="004E4F3C"/>
    <w:rsid w:val="00510839"/>
    <w:rsid w:val="005326F1"/>
    <w:rsid w:val="0058676E"/>
    <w:rsid w:val="005A4D67"/>
    <w:rsid w:val="00603AD7"/>
    <w:rsid w:val="00604956"/>
    <w:rsid w:val="006203CE"/>
    <w:rsid w:val="00672F2D"/>
    <w:rsid w:val="0076556E"/>
    <w:rsid w:val="00771B46"/>
    <w:rsid w:val="007E6C25"/>
    <w:rsid w:val="00800627"/>
    <w:rsid w:val="00834BCB"/>
    <w:rsid w:val="00846D9D"/>
    <w:rsid w:val="00865DB1"/>
    <w:rsid w:val="00872C54"/>
    <w:rsid w:val="0089095B"/>
    <w:rsid w:val="008E1965"/>
    <w:rsid w:val="00913FAF"/>
    <w:rsid w:val="00926133"/>
    <w:rsid w:val="00967799"/>
    <w:rsid w:val="009831F8"/>
    <w:rsid w:val="00A0195A"/>
    <w:rsid w:val="00A16D68"/>
    <w:rsid w:val="00A20000"/>
    <w:rsid w:val="00AA23AC"/>
    <w:rsid w:val="00AA68CF"/>
    <w:rsid w:val="00AA7836"/>
    <w:rsid w:val="00B32637"/>
    <w:rsid w:val="00B76C05"/>
    <w:rsid w:val="00B922DE"/>
    <w:rsid w:val="00B93555"/>
    <w:rsid w:val="00C00963"/>
    <w:rsid w:val="00C13C94"/>
    <w:rsid w:val="00C2609E"/>
    <w:rsid w:val="00C4469C"/>
    <w:rsid w:val="00C47D3A"/>
    <w:rsid w:val="00C54A0C"/>
    <w:rsid w:val="00CD04DC"/>
    <w:rsid w:val="00CF034D"/>
    <w:rsid w:val="00D16C72"/>
    <w:rsid w:val="00D4727B"/>
    <w:rsid w:val="00D477D3"/>
    <w:rsid w:val="00D756B6"/>
    <w:rsid w:val="00DA1891"/>
    <w:rsid w:val="00DA2077"/>
    <w:rsid w:val="00DB49F8"/>
    <w:rsid w:val="00DC7F65"/>
    <w:rsid w:val="00DF5BB8"/>
    <w:rsid w:val="00E52C61"/>
    <w:rsid w:val="00EA38A9"/>
    <w:rsid w:val="00EF734A"/>
    <w:rsid w:val="00F0714D"/>
    <w:rsid w:val="00F20D43"/>
    <w:rsid w:val="00F5307D"/>
    <w:rsid w:val="00F6187D"/>
    <w:rsid w:val="00F80D0E"/>
    <w:rsid w:val="00F95EA8"/>
    <w:rsid w:val="00FC54AB"/>
    <w:rsid w:val="00FD1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CD04DC"/>
    <w:pPr>
      <w:ind w:left="720"/>
      <w:contextualSpacing/>
    </w:pPr>
  </w:style>
  <w:style w:type="character" w:styleId="UnresolvedMention">
    <w:name w:val="Unresolved Mention"/>
    <w:basedOn w:val="DefaultParagraphFont"/>
    <w:uiPriority w:val="99"/>
    <w:semiHidden/>
    <w:unhideWhenUsed/>
    <w:rsid w:val="00106F17"/>
    <w:rPr>
      <w:color w:val="605E5C"/>
      <w:shd w:val="clear" w:color="auto" w:fill="E1DFDD"/>
    </w:rPr>
  </w:style>
  <w:style w:type="character" w:styleId="FollowedHyperlink">
    <w:name w:val="FollowedHyperlink"/>
    <w:basedOn w:val="DefaultParagraphFont"/>
    <w:uiPriority w:val="99"/>
    <w:semiHidden/>
    <w:unhideWhenUsed/>
    <w:rsid w:val="00106F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586263">
      <w:bodyDiv w:val="1"/>
      <w:marLeft w:val="0"/>
      <w:marRight w:val="0"/>
      <w:marTop w:val="0"/>
      <w:marBottom w:val="0"/>
      <w:divBdr>
        <w:top w:val="none" w:sz="0" w:space="0" w:color="auto"/>
        <w:left w:val="none" w:sz="0" w:space="0" w:color="auto"/>
        <w:bottom w:val="none" w:sz="0" w:space="0" w:color="auto"/>
        <w:right w:val="none" w:sz="0" w:space="0" w:color="auto"/>
      </w:divBdr>
      <w:divsChild>
        <w:div w:id="1822234093">
          <w:marLeft w:val="0"/>
          <w:marRight w:val="0"/>
          <w:marTop w:val="0"/>
          <w:marBottom w:val="0"/>
          <w:divBdr>
            <w:top w:val="none" w:sz="0" w:space="0" w:color="auto"/>
            <w:left w:val="none" w:sz="0" w:space="0" w:color="auto"/>
            <w:bottom w:val="none" w:sz="0" w:space="0" w:color="auto"/>
            <w:right w:val="none" w:sz="0" w:space="0" w:color="auto"/>
          </w:divBdr>
        </w:div>
        <w:div w:id="676227518">
          <w:marLeft w:val="0"/>
          <w:marRight w:val="0"/>
          <w:marTop w:val="0"/>
          <w:marBottom w:val="0"/>
          <w:divBdr>
            <w:top w:val="none" w:sz="0" w:space="0" w:color="auto"/>
            <w:left w:val="none" w:sz="0" w:space="0" w:color="auto"/>
            <w:bottom w:val="none" w:sz="0" w:space="0" w:color="auto"/>
            <w:right w:val="none" w:sz="0" w:space="0" w:color="auto"/>
          </w:divBdr>
        </w:div>
        <w:div w:id="1332367771">
          <w:marLeft w:val="0"/>
          <w:marRight w:val="0"/>
          <w:marTop w:val="0"/>
          <w:marBottom w:val="0"/>
          <w:divBdr>
            <w:top w:val="none" w:sz="0" w:space="0" w:color="auto"/>
            <w:left w:val="none" w:sz="0" w:space="0" w:color="auto"/>
            <w:bottom w:val="none" w:sz="0" w:space="0" w:color="auto"/>
            <w:right w:val="none" w:sz="0" w:space="0" w:color="auto"/>
          </w:divBdr>
        </w:div>
        <w:div w:id="1376388544">
          <w:marLeft w:val="0"/>
          <w:marRight w:val="0"/>
          <w:marTop w:val="0"/>
          <w:marBottom w:val="0"/>
          <w:divBdr>
            <w:top w:val="none" w:sz="0" w:space="0" w:color="auto"/>
            <w:left w:val="none" w:sz="0" w:space="0" w:color="auto"/>
            <w:bottom w:val="none" w:sz="0" w:space="0" w:color="auto"/>
            <w:right w:val="none" w:sz="0" w:space="0" w:color="auto"/>
          </w:divBdr>
        </w:div>
        <w:div w:id="822621864">
          <w:marLeft w:val="0"/>
          <w:marRight w:val="0"/>
          <w:marTop w:val="0"/>
          <w:marBottom w:val="0"/>
          <w:divBdr>
            <w:top w:val="none" w:sz="0" w:space="0" w:color="auto"/>
            <w:left w:val="none" w:sz="0" w:space="0" w:color="auto"/>
            <w:bottom w:val="none" w:sz="0" w:space="0" w:color="auto"/>
            <w:right w:val="none" w:sz="0" w:space="0" w:color="auto"/>
          </w:divBdr>
        </w:div>
        <w:div w:id="1801192796">
          <w:marLeft w:val="0"/>
          <w:marRight w:val="0"/>
          <w:marTop w:val="0"/>
          <w:marBottom w:val="0"/>
          <w:divBdr>
            <w:top w:val="none" w:sz="0" w:space="0" w:color="auto"/>
            <w:left w:val="none" w:sz="0" w:space="0" w:color="auto"/>
            <w:bottom w:val="none" w:sz="0" w:space="0" w:color="auto"/>
            <w:right w:val="none" w:sz="0" w:space="0" w:color="auto"/>
          </w:divBdr>
        </w:div>
        <w:div w:id="465241204">
          <w:marLeft w:val="0"/>
          <w:marRight w:val="0"/>
          <w:marTop w:val="0"/>
          <w:marBottom w:val="0"/>
          <w:divBdr>
            <w:top w:val="none" w:sz="0" w:space="0" w:color="auto"/>
            <w:left w:val="none" w:sz="0" w:space="0" w:color="auto"/>
            <w:bottom w:val="none" w:sz="0" w:space="0" w:color="auto"/>
            <w:right w:val="none" w:sz="0" w:space="0" w:color="auto"/>
          </w:divBdr>
        </w:div>
        <w:div w:id="1899701923">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333728467">
          <w:marLeft w:val="0"/>
          <w:marRight w:val="0"/>
          <w:marTop w:val="0"/>
          <w:marBottom w:val="0"/>
          <w:divBdr>
            <w:top w:val="none" w:sz="0" w:space="0" w:color="auto"/>
            <w:left w:val="none" w:sz="0" w:space="0" w:color="auto"/>
            <w:bottom w:val="none" w:sz="0" w:space="0" w:color="auto"/>
            <w:right w:val="none" w:sz="0" w:space="0" w:color="auto"/>
          </w:divBdr>
        </w:div>
        <w:div w:id="647587249">
          <w:marLeft w:val="0"/>
          <w:marRight w:val="0"/>
          <w:marTop w:val="0"/>
          <w:marBottom w:val="0"/>
          <w:divBdr>
            <w:top w:val="none" w:sz="0" w:space="0" w:color="auto"/>
            <w:left w:val="none" w:sz="0" w:space="0" w:color="auto"/>
            <w:bottom w:val="none" w:sz="0" w:space="0" w:color="auto"/>
            <w:right w:val="none" w:sz="0" w:space="0" w:color="auto"/>
          </w:divBdr>
        </w:div>
        <w:div w:id="1709378278">
          <w:marLeft w:val="0"/>
          <w:marRight w:val="0"/>
          <w:marTop w:val="0"/>
          <w:marBottom w:val="0"/>
          <w:divBdr>
            <w:top w:val="none" w:sz="0" w:space="0" w:color="auto"/>
            <w:left w:val="none" w:sz="0" w:space="0" w:color="auto"/>
            <w:bottom w:val="none" w:sz="0" w:space="0" w:color="auto"/>
            <w:right w:val="none" w:sz="0" w:space="0" w:color="auto"/>
          </w:divBdr>
        </w:div>
        <w:div w:id="501942228">
          <w:marLeft w:val="0"/>
          <w:marRight w:val="0"/>
          <w:marTop w:val="0"/>
          <w:marBottom w:val="0"/>
          <w:divBdr>
            <w:top w:val="none" w:sz="0" w:space="0" w:color="auto"/>
            <w:left w:val="none" w:sz="0" w:space="0" w:color="auto"/>
            <w:bottom w:val="none" w:sz="0" w:space="0" w:color="auto"/>
            <w:right w:val="none" w:sz="0" w:space="0" w:color="auto"/>
          </w:divBdr>
        </w:div>
        <w:div w:id="11982764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openxmlformats.org/officeDocument/2006/relationships/hyperlink" Target="http://ncsc.gov.uk/"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ico.org.uk/for-organisations/guide-to-data-protection/introduction-to-dpa-2018/about-the-dpa-2018/" TargetMode="External"/><Relationship Id="rId17" Type="http://schemas.openxmlformats.org/officeDocument/2006/relationships/hyperlink" Target="https://dataprotection.education/best-practice-library/checklist/dashboard"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stay-safe-online-ncsc" TargetMode="External"/><Relationship Id="rId5" Type="http://schemas.openxmlformats.org/officeDocument/2006/relationships/footnotes" Target="footnotes.xml"/><Relationship Id="rId15" Type="http://schemas.openxmlformats.org/officeDocument/2006/relationships/hyperlink" Target="https://www.ncsc.gov.uk/information/school-governor-questions" TargetMode="External"/><Relationship Id="rId10" Type="http://schemas.openxmlformats.org/officeDocument/2006/relationships/hyperlink" Target="https://dataprotection.education/best-practice-library/documents/information-technology-securit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hyperlink" Target="https://www.ncsc.gov.uk/section/education-skills/schoo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3</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7</cp:revision>
  <dcterms:created xsi:type="dcterms:W3CDTF">2022-12-12T11:38:00Z</dcterms:created>
  <dcterms:modified xsi:type="dcterms:W3CDTF">2022-12-12T15:07:00Z</dcterms:modified>
</cp:coreProperties>
</file>