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98A20" w14:textId="77777777" w:rsidR="00BA6DEA" w:rsidRDefault="00BA6DEA" w:rsidP="00BA6DEA">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Pr>
          <w:rFonts w:ascii="Calibri" w:hAnsi="Calibri" w:cs="Calibri"/>
          <w:b w:val="0"/>
          <w:bCs/>
          <w:color w:val="4BACC6" w:themeColor="accent5"/>
          <w:sz w:val="32"/>
          <w:szCs w:val="32"/>
        </w:rPr>
        <w:t>Heartwood CE VC Primary &amp; Nursery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3224FA57" w14:textId="6F1209D9" w:rsidR="00BA6DEA" w:rsidRPr="00DA1891" w:rsidRDefault="00BA6DEA" w:rsidP="00BA6DEA">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b w:val="0"/>
          <w:bCs/>
          <w:color w:val="4BACC6" w:themeColor="accent5"/>
          <w:sz w:val="32"/>
          <w:szCs w:val="32"/>
        </w:rPr>
        <w:t>27.02.23</w:t>
      </w:r>
    </w:p>
    <w:p w14:paraId="4FA4BA3D" w14:textId="77777777" w:rsidR="00BA6DEA" w:rsidRPr="00DA1891" w:rsidRDefault="00BA6DEA" w:rsidP="00BA6DEA">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7D899FCE" w14:textId="77777777" w:rsidR="00BA6DEA" w:rsidRPr="00DA1891" w:rsidRDefault="00BA6DEA" w:rsidP="00BA6DEA">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3C4A663" w14:textId="77777777" w:rsidR="00BA6DEA" w:rsidRPr="00DA1891" w:rsidRDefault="00BA6DEA" w:rsidP="00BA6DEA">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Pr>
          <w:rFonts w:ascii="Calibri" w:eastAsia="Calibri" w:hAnsi="Calibri" w:cs="Calibri"/>
          <w:bCs/>
          <w:color w:val="4BACC6" w:themeColor="accent5"/>
          <w:sz w:val="32"/>
          <w:szCs w:val="32"/>
        </w:rPr>
        <w:t>Emily McMillen (Head)</w:t>
      </w:r>
    </w:p>
    <w:p w14:paraId="68042F93" w14:textId="473E823C" w:rsidR="00EA38A9" w:rsidRDefault="00EA38A9" w:rsidP="00F6187D">
      <w:pPr>
        <w:rPr>
          <w:rFonts w:ascii="Calibri" w:eastAsia="Calibri" w:hAnsi="Calibri" w:cs="Calibri"/>
          <w:b/>
          <w:color w:val="0591B4"/>
          <w:sz w:val="24"/>
          <w:szCs w:val="24"/>
        </w:rPr>
      </w:pPr>
    </w:p>
    <w:p w14:paraId="5C34EB9E" w14:textId="77777777" w:rsidR="00FD136D" w:rsidRPr="00195D96" w:rsidRDefault="00FD136D" w:rsidP="00FD136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53FFFB6"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3341D7DD"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0002FEBF"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DF3A77A"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576CAEBD" w14:textId="38E582EF" w:rsidR="00FD136D" w:rsidRPr="00243152"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57DCD839" w14:textId="542E5E5E" w:rsidR="00243152" w:rsidRPr="0035535F" w:rsidRDefault="00243152"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Best Practice Checklist</w:t>
      </w:r>
    </w:p>
    <w:p w14:paraId="7F7871E5" w14:textId="77777777" w:rsidR="00FD136D" w:rsidRDefault="00FD136D" w:rsidP="00FD136D">
      <w:pPr>
        <w:shd w:val="clear" w:color="auto" w:fill="FFFFFF"/>
        <w:rPr>
          <w:rFonts w:asciiTheme="majorHAnsi" w:hAnsiTheme="majorHAnsi" w:cstheme="majorHAnsi"/>
          <w:color w:val="000000"/>
          <w:sz w:val="24"/>
          <w:szCs w:val="24"/>
        </w:rPr>
      </w:pPr>
    </w:p>
    <w:p w14:paraId="4AB64FA2" w14:textId="77777777" w:rsidR="00FD136D" w:rsidRPr="0035535F" w:rsidRDefault="00FD136D" w:rsidP="00FD136D">
      <w:pPr>
        <w:numPr>
          <w:ilvl w:val="0"/>
          <w:numId w:val="11"/>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F19D3FD" w14:textId="77777777" w:rsidR="00FD136D" w:rsidRDefault="00FD136D" w:rsidP="00FD136D">
      <w:pPr>
        <w:ind w:left="567"/>
        <w:rPr>
          <w:rFonts w:asciiTheme="majorHAnsi" w:hAnsiTheme="majorHAnsi" w:cstheme="majorHAnsi"/>
          <w:b/>
          <w:sz w:val="24"/>
          <w:szCs w:val="24"/>
        </w:rPr>
      </w:pPr>
    </w:p>
    <w:p w14:paraId="2CE67E75" w14:textId="2ECD3B69" w:rsidR="00FD136D" w:rsidRPr="0035535F" w:rsidRDefault="00FD136D" w:rsidP="00FD136D">
      <w:pPr>
        <w:ind w:left="567"/>
        <w:rPr>
          <w:rFonts w:asciiTheme="majorHAnsi" w:eastAsia="Times New Roman" w:hAnsiTheme="majorHAnsi" w:cstheme="majorHAnsi"/>
          <w:sz w:val="24"/>
          <w:szCs w:val="24"/>
        </w:rPr>
      </w:pPr>
      <w:r w:rsidRPr="0035535F">
        <w:rPr>
          <w:rFonts w:asciiTheme="majorHAnsi" w:hAnsiTheme="majorHAnsi" w:cstheme="majorHAnsi"/>
          <w:b/>
          <w:sz w:val="24"/>
          <w:szCs w:val="24"/>
        </w:rPr>
        <w:t>Website documents</w:t>
      </w:r>
      <w:r w:rsidR="00611A4E">
        <w:rPr>
          <w:rFonts w:asciiTheme="majorHAnsi" w:hAnsiTheme="majorHAnsi" w:cstheme="majorHAnsi"/>
          <w:b/>
          <w:sz w:val="24"/>
          <w:szCs w:val="24"/>
        </w:rPr>
        <w:t xml:space="preserve"> – all up to date and published</w:t>
      </w:r>
      <w:r w:rsidRPr="0035535F">
        <w:rPr>
          <w:rFonts w:asciiTheme="majorHAnsi" w:hAnsiTheme="majorHAnsi" w:cstheme="majorHAnsi"/>
          <w:b/>
          <w:sz w:val="24"/>
          <w:szCs w:val="24"/>
        </w:rPr>
        <w:t>:</w:t>
      </w:r>
    </w:p>
    <w:p w14:paraId="6639C446" w14:textId="500FB1B6" w:rsidR="00FD136D" w:rsidRDefault="00611A4E" w:rsidP="00FD136D">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GDPR Policy</w:t>
      </w:r>
    </w:p>
    <w:p w14:paraId="0521628C" w14:textId="7BD46364" w:rsidR="00611A4E" w:rsidRDefault="00611A4E" w:rsidP="00FD136D">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Privacy Notice</w:t>
      </w:r>
    </w:p>
    <w:p w14:paraId="161D29B0" w14:textId="4780870A" w:rsidR="00611A4E" w:rsidRDefault="00611A4E" w:rsidP="00611A4E">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FOI Policy &amp; Publication Scheme</w:t>
      </w:r>
    </w:p>
    <w:p w14:paraId="28C9594F" w14:textId="2A5DA33F" w:rsidR="00611A4E" w:rsidRPr="00611A4E" w:rsidRDefault="00611A4E" w:rsidP="00611A4E">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Consent form</w:t>
      </w:r>
    </w:p>
    <w:p w14:paraId="512BAB6A" w14:textId="77777777" w:rsidR="00FD136D" w:rsidRDefault="00FD136D" w:rsidP="00FD136D">
      <w:pPr>
        <w:rPr>
          <w:rFonts w:asciiTheme="majorHAnsi" w:eastAsia="Times New Roman" w:hAnsiTheme="majorHAnsi" w:cstheme="majorHAnsi"/>
          <w:sz w:val="24"/>
          <w:szCs w:val="24"/>
        </w:rPr>
      </w:pPr>
    </w:p>
    <w:p w14:paraId="135BD043"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44514A25" w14:textId="77777777" w:rsidR="00FD136D" w:rsidRDefault="00FD136D" w:rsidP="00FD136D">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Pr>
          <w:rFonts w:asciiTheme="majorHAnsi" w:hAnsiTheme="majorHAnsi" w:cstheme="majorHAnsi"/>
          <w:color w:val="000000"/>
          <w:sz w:val="24"/>
          <w:szCs w:val="24"/>
        </w:rPr>
        <w:t xml:space="preserve"> </w:t>
      </w:r>
      <w:hyperlink r:id="rId7" w:history="1">
        <w:r w:rsidRPr="00876F2D">
          <w:rPr>
            <w:rStyle w:val="Hyperlink"/>
            <w:rFonts w:asciiTheme="majorHAnsi" w:hAnsiTheme="majorHAnsi" w:cstheme="majorHAnsi"/>
            <w:sz w:val="24"/>
            <w:szCs w:val="24"/>
          </w:rPr>
          <w:t>https://dataprotection.education/student-list/users?filter[agencies]=12</w:t>
        </w:r>
      </w:hyperlink>
    </w:p>
    <w:p w14:paraId="7D9642EE" w14:textId="77777777" w:rsidR="00FD136D" w:rsidRDefault="00FD136D" w:rsidP="00FD136D">
      <w:pPr>
        <w:ind w:left="567"/>
        <w:rPr>
          <w:rFonts w:asciiTheme="majorHAnsi" w:hAnsiTheme="majorHAnsi" w:cstheme="majorHAnsi"/>
          <w:color w:val="000000"/>
          <w:sz w:val="24"/>
          <w:szCs w:val="24"/>
        </w:rPr>
      </w:pPr>
    </w:p>
    <w:p w14:paraId="0892AE55" w14:textId="77777777" w:rsidR="00FD136D" w:rsidRDefault="00FD136D"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You can check the status of each course for individuals to check their date of completion and score: Dashboard – (scroll to the bottom) Reports – Single Course – select each course from the drop-down to view details. </w:t>
      </w:r>
    </w:p>
    <w:p w14:paraId="12DAB440" w14:textId="77777777" w:rsidR="00FD136D" w:rsidRDefault="00FD136D" w:rsidP="00FD136D">
      <w:pPr>
        <w:ind w:left="567"/>
        <w:rPr>
          <w:rFonts w:asciiTheme="majorHAnsi" w:hAnsiTheme="majorHAnsi" w:cstheme="majorHAnsi"/>
          <w:color w:val="000000"/>
          <w:sz w:val="24"/>
          <w:szCs w:val="24"/>
        </w:rPr>
      </w:pPr>
    </w:p>
    <w:p w14:paraId="6B41AD3A" w14:textId="687BDE63" w:rsidR="00FD136D" w:rsidRDefault="00611A4E" w:rsidP="00611A4E">
      <w:pPr>
        <w:ind w:left="567"/>
        <w:rPr>
          <w:rFonts w:asciiTheme="majorHAnsi" w:hAnsiTheme="majorHAnsi" w:cstheme="majorHAnsi"/>
          <w:color w:val="000000"/>
          <w:sz w:val="24"/>
          <w:szCs w:val="24"/>
        </w:rPr>
      </w:pPr>
      <w:r>
        <w:rPr>
          <w:rFonts w:asciiTheme="majorHAnsi" w:hAnsiTheme="majorHAnsi" w:cstheme="majorHAnsi"/>
          <w:color w:val="000000"/>
          <w:sz w:val="24"/>
          <w:szCs w:val="24"/>
        </w:rPr>
        <w:t>A large number of s</w:t>
      </w:r>
      <w:r w:rsidR="006F3F82">
        <w:rPr>
          <w:rFonts w:asciiTheme="majorHAnsi" w:hAnsiTheme="majorHAnsi" w:cstheme="majorHAnsi"/>
          <w:color w:val="000000"/>
          <w:sz w:val="24"/>
          <w:szCs w:val="24"/>
        </w:rPr>
        <w:t>taff have completed ‘An Introduction to Data Protection’</w:t>
      </w:r>
      <w:r>
        <w:rPr>
          <w:rFonts w:asciiTheme="majorHAnsi" w:hAnsiTheme="majorHAnsi" w:cstheme="majorHAnsi"/>
          <w:color w:val="000000"/>
          <w:sz w:val="24"/>
          <w:szCs w:val="24"/>
        </w:rPr>
        <w:t>.</w:t>
      </w:r>
      <w:r w:rsidR="006F3F82">
        <w:rPr>
          <w:rFonts w:asciiTheme="majorHAnsi" w:hAnsiTheme="majorHAnsi" w:cstheme="majorHAnsi"/>
          <w:color w:val="000000"/>
          <w:sz w:val="24"/>
          <w:szCs w:val="24"/>
        </w:rPr>
        <w:t xml:space="preserve">  We </w:t>
      </w:r>
      <w:r>
        <w:rPr>
          <w:rFonts w:asciiTheme="majorHAnsi" w:hAnsiTheme="majorHAnsi" w:cstheme="majorHAnsi"/>
          <w:color w:val="000000"/>
          <w:sz w:val="24"/>
          <w:szCs w:val="24"/>
        </w:rPr>
        <w:t xml:space="preserve">also </w:t>
      </w:r>
      <w:r w:rsidR="006F3F82">
        <w:rPr>
          <w:rFonts w:asciiTheme="majorHAnsi" w:hAnsiTheme="majorHAnsi" w:cstheme="majorHAnsi"/>
          <w:color w:val="000000"/>
          <w:sz w:val="24"/>
          <w:szCs w:val="24"/>
        </w:rPr>
        <w:t xml:space="preserve">recommend everyone completes </w:t>
      </w:r>
      <w:r>
        <w:rPr>
          <w:rFonts w:asciiTheme="majorHAnsi" w:hAnsiTheme="majorHAnsi" w:cstheme="majorHAnsi"/>
          <w:color w:val="000000"/>
          <w:sz w:val="24"/>
          <w:szCs w:val="24"/>
        </w:rPr>
        <w:t>‘How to avoid a data breach’ &amp;</w:t>
      </w:r>
      <w:r w:rsidR="006F3F82">
        <w:rPr>
          <w:rFonts w:asciiTheme="majorHAnsi" w:hAnsiTheme="majorHAnsi" w:cstheme="majorHAnsi"/>
          <w:color w:val="000000"/>
          <w:sz w:val="24"/>
          <w:szCs w:val="24"/>
        </w:rPr>
        <w:t xml:space="preserve"> ‘Stay Safe Online NCSC’ course</w:t>
      </w:r>
      <w:r>
        <w:rPr>
          <w:rFonts w:asciiTheme="majorHAnsi" w:hAnsiTheme="majorHAnsi" w:cstheme="majorHAnsi"/>
          <w:color w:val="000000"/>
          <w:sz w:val="24"/>
          <w:szCs w:val="24"/>
        </w:rPr>
        <w:t>s</w:t>
      </w:r>
      <w:r w:rsidR="006F3F82">
        <w:rPr>
          <w:rFonts w:asciiTheme="majorHAnsi" w:hAnsiTheme="majorHAnsi" w:cstheme="majorHAnsi"/>
          <w:color w:val="000000"/>
          <w:sz w:val="24"/>
          <w:szCs w:val="24"/>
        </w:rPr>
        <w:t xml:space="preserve"> and over time ask that staff take a 5-10 minute ‘learning nugget</w:t>
      </w:r>
      <w:r>
        <w:rPr>
          <w:rFonts w:asciiTheme="majorHAnsi" w:hAnsiTheme="majorHAnsi" w:cstheme="majorHAnsi"/>
          <w:color w:val="000000"/>
          <w:sz w:val="24"/>
          <w:szCs w:val="24"/>
        </w:rPr>
        <w:t>s</w:t>
      </w:r>
      <w:r w:rsidR="006F3F82">
        <w:rPr>
          <w:rFonts w:asciiTheme="majorHAnsi" w:hAnsiTheme="majorHAnsi" w:cstheme="majorHAnsi"/>
          <w:color w:val="000000"/>
          <w:sz w:val="24"/>
          <w:szCs w:val="24"/>
        </w:rPr>
        <w:t>’, such as clear desk, data breaches, data classification, password security and physical security to keep data protection fresh in their minds.</w:t>
      </w:r>
    </w:p>
    <w:p w14:paraId="519F69D4" w14:textId="77777777" w:rsidR="00FD136D" w:rsidRPr="00765251" w:rsidRDefault="00FD136D" w:rsidP="00FD136D">
      <w:pPr>
        <w:ind w:left="567"/>
        <w:rPr>
          <w:rFonts w:asciiTheme="majorHAnsi" w:hAnsiTheme="majorHAnsi" w:cstheme="majorHAnsi"/>
          <w:color w:val="000000"/>
          <w:sz w:val="24"/>
          <w:szCs w:val="24"/>
        </w:rPr>
      </w:pPr>
    </w:p>
    <w:p w14:paraId="6BABC93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31EF647D" w14:textId="07A5A978" w:rsidR="009F7774" w:rsidRDefault="00611A4E" w:rsidP="00FD136D">
      <w:pPr>
        <w:ind w:left="568"/>
        <w:rPr>
          <w:rFonts w:ascii="Calibri" w:hAnsi="Calibri" w:cs="Calibri"/>
          <w:sz w:val="24"/>
          <w:szCs w:val="24"/>
        </w:rPr>
      </w:pPr>
      <w:r>
        <w:rPr>
          <w:rFonts w:ascii="Calibri" w:eastAsia="Calibri" w:hAnsi="Calibri" w:cs="Calibri"/>
          <w:sz w:val="24"/>
          <w:szCs w:val="24"/>
        </w:rPr>
        <w:t>Heartwood have a Data Retention Policy in place and archives are labelled with dates of destruction.</w:t>
      </w:r>
      <w:r w:rsidR="0059446A">
        <w:rPr>
          <w:rFonts w:ascii="Calibri" w:eastAsia="Calibri" w:hAnsi="Calibri" w:cs="Calibri"/>
          <w:sz w:val="24"/>
          <w:szCs w:val="24"/>
        </w:rPr>
        <w:t xml:space="preserve">  Shredders are available in all rooms.</w:t>
      </w:r>
    </w:p>
    <w:p w14:paraId="4E05B7D7" w14:textId="77777777" w:rsidR="00FD136D" w:rsidRDefault="00FD136D" w:rsidP="00FD136D">
      <w:pPr>
        <w:ind w:left="568"/>
        <w:rPr>
          <w:rFonts w:ascii="Calibri" w:eastAsia="Calibri" w:hAnsi="Calibri" w:cs="Calibri"/>
          <w:sz w:val="24"/>
          <w:szCs w:val="24"/>
          <w:highlight w:val="white"/>
        </w:rPr>
      </w:pPr>
    </w:p>
    <w:p w14:paraId="2E99D27E"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5E2CFBA5" w14:textId="251D6B06"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r w:rsidR="008445CC">
        <w:rPr>
          <w:rFonts w:asciiTheme="majorHAnsi" w:hAnsiTheme="majorHAnsi" w:cstheme="majorHAnsi"/>
          <w:color w:val="222222"/>
          <w:sz w:val="24"/>
          <w:szCs w:val="24"/>
        </w:rPr>
        <w:t>.</w:t>
      </w:r>
    </w:p>
    <w:p w14:paraId="7EBEDAE7"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8">
        <w:r w:rsidR="00FD136D" w:rsidRPr="00B32637">
          <w:rPr>
            <w:rFonts w:asciiTheme="majorHAnsi" w:hAnsiTheme="majorHAnsi" w:cstheme="majorHAnsi"/>
            <w:color w:val="1155CC"/>
            <w:sz w:val="24"/>
            <w:szCs w:val="24"/>
            <w:u w:val="single"/>
          </w:rPr>
          <w:t>https://dataprotection.education/best-practice-library/documents/information-technology-security</w:t>
        </w:r>
      </w:hyperlink>
      <w:r w:rsidR="00FD136D" w:rsidRPr="00B32637">
        <w:rPr>
          <w:rFonts w:asciiTheme="majorHAnsi" w:hAnsiTheme="majorHAnsi" w:cstheme="majorHAnsi"/>
          <w:color w:val="222222"/>
          <w:sz w:val="24"/>
          <w:szCs w:val="24"/>
        </w:rPr>
        <w:t> </w:t>
      </w:r>
    </w:p>
    <w:p w14:paraId="7AE0DAAF"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1F3254B3"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organisation but also for staff when accessing personal information online i.e. personal banking: </w:t>
      </w:r>
    </w:p>
    <w:p w14:paraId="68E82ADF"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9">
        <w:r w:rsidR="00FD136D" w:rsidRPr="00B32637">
          <w:rPr>
            <w:rFonts w:asciiTheme="majorHAnsi" w:hAnsiTheme="majorHAnsi" w:cstheme="majorHAnsi"/>
            <w:color w:val="0000FF"/>
            <w:sz w:val="24"/>
            <w:szCs w:val="24"/>
            <w:u w:val="single"/>
          </w:rPr>
          <w:t>https://dataprotection.education/courses-heading/stay-safe-online-ncsc</w:t>
        </w:r>
      </w:hyperlink>
      <w:r w:rsidR="00FD136D" w:rsidRPr="00B32637">
        <w:rPr>
          <w:rFonts w:asciiTheme="majorHAnsi" w:hAnsiTheme="majorHAnsi" w:cstheme="majorHAnsi"/>
          <w:color w:val="222222"/>
          <w:sz w:val="24"/>
          <w:szCs w:val="24"/>
        </w:rPr>
        <w:t> </w:t>
      </w:r>
    </w:p>
    <w:p w14:paraId="2DC190A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75D7B9EC"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0">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70048FB6"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7A0A386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1">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75235216" w14:textId="77777777" w:rsidR="00FD136D" w:rsidRPr="00B32637" w:rsidRDefault="00FD136D" w:rsidP="00FD136D">
      <w:pPr>
        <w:numPr>
          <w:ilvl w:val="0"/>
          <w:numId w:val="13"/>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2">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67110183" w14:textId="77777777" w:rsidR="00FD136D" w:rsidRPr="00B32637" w:rsidRDefault="00FD136D" w:rsidP="00FD136D">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3">
        <w:r w:rsidRPr="00B32637">
          <w:rPr>
            <w:rFonts w:asciiTheme="majorHAnsi" w:hAnsiTheme="majorHAnsi" w:cstheme="majorHAnsi"/>
            <w:color w:val="1155CC"/>
            <w:sz w:val="24"/>
            <w:szCs w:val="24"/>
            <w:u w:val="single"/>
          </w:rPr>
          <w:t>https://www.ncsc.gov.uk/information/school-governor-questions</w:t>
        </w:r>
      </w:hyperlink>
    </w:p>
    <w:p w14:paraId="1273F19C" w14:textId="77777777" w:rsidR="00FD136D" w:rsidRDefault="00FD136D" w:rsidP="00FD136D">
      <w:pPr>
        <w:ind w:left="567"/>
        <w:rPr>
          <w:rFonts w:asciiTheme="majorHAnsi" w:hAnsiTheme="majorHAnsi" w:cstheme="majorHAnsi"/>
          <w:b/>
          <w:color w:val="0591B4"/>
          <w:sz w:val="28"/>
          <w:szCs w:val="28"/>
          <w:highlight w:val="white"/>
        </w:rPr>
      </w:pPr>
    </w:p>
    <w:p w14:paraId="05089A2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360FAC81" w14:textId="4167D776" w:rsidR="00FD136D" w:rsidRDefault="0059446A" w:rsidP="00FD136D">
      <w:pPr>
        <w:shd w:val="clear" w:color="auto" w:fill="FFFFFF"/>
        <w:ind w:left="568"/>
        <w:rPr>
          <w:rFonts w:ascii="Calibri" w:eastAsia="Calibri" w:hAnsi="Calibri" w:cs="Calibri"/>
          <w:sz w:val="24"/>
          <w:szCs w:val="24"/>
        </w:rPr>
      </w:pPr>
      <w:r>
        <w:rPr>
          <w:rFonts w:ascii="Calibri" w:eastAsia="Calibri" w:hAnsi="Calibri" w:cs="Calibri"/>
          <w:sz w:val="24"/>
          <w:szCs w:val="24"/>
        </w:rPr>
        <w:t>There is</w:t>
      </w:r>
      <w:r w:rsidR="00611A4E">
        <w:rPr>
          <w:rFonts w:ascii="Calibri" w:eastAsia="Calibri" w:hAnsi="Calibri" w:cs="Calibri"/>
          <w:sz w:val="24"/>
          <w:szCs w:val="24"/>
        </w:rPr>
        <w:t xml:space="preserve"> a Governor assigned the responsibility of Data Protection</w:t>
      </w:r>
      <w:r>
        <w:rPr>
          <w:rFonts w:ascii="Calibri" w:eastAsia="Calibri" w:hAnsi="Calibri" w:cs="Calibri"/>
          <w:sz w:val="24"/>
          <w:szCs w:val="24"/>
        </w:rPr>
        <w:t xml:space="preserve"> – I recommend a ‘walk – around’ site to identify any visible risks, using the ‘Making the Rounds’ tool available on the Knowledge Bank.</w:t>
      </w:r>
    </w:p>
    <w:p w14:paraId="1259A9E2" w14:textId="77777777" w:rsidR="00FD136D" w:rsidRPr="0038215C" w:rsidRDefault="00FD136D" w:rsidP="00FD136D">
      <w:pPr>
        <w:ind w:left="568"/>
        <w:rPr>
          <w:rFonts w:ascii="Calibri" w:eastAsia="Calibri" w:hAnsi="Calibri" w:cs="Calibri"/>
          <w:sz w:val="24"/>
          <w:szCs w:val="24"/>
        </w:rPr>
      </w:pPr>
    </w:p>
    <w:p w14:paraId="14D6EE7D" w14:textId="77777777" w:rsidR="00FD136D" w:rsidRPr="0038215C" w:rsidRDefault="00FD136D" w:rsidP="00FD136D">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r w:rsidRPr="0038215C">
        <w:rPr>
          <w:rFonts w:ascii="Calibri" w:eastAsia="Calibri" w:hAnsi="Calibri" w:cs="Calibri"/>
          <w:sz w:val="24"/>
          <w:szCs w:val="24"/>
        </w:rPr>
        <w:t xml:space="preserve">i.e. clear desks and locking laptops etc. This is an ideal way to keep staff focused with the latest data protection issues.  If you wish to display posters, we have ‘drip feeds’ available in our resources section: </w:t>
      </w:r>
      <w:hyperlink r:id="rId14" w:history="1">
        <w:r>
          <w:rPr>
            <w:rStyle w:val="Hyperlink"/>
          </w:rPr>
          <w:t>Drip Feeds - posters (</w:t>
        </w:r>
        <w:proofErr w:type="spellStart"/>
        <w:r>
          <w:rPr>
            <w:rStyle w:val="Hyperlink"/>
          </w:rPr>
          <w:t>dataprotection.education</w:t>
        </w:r>
        <w:proofErr w:type="spellEnd"/>
        <w:r>
          <w:rPr>
            <w:rStyle w:val="Hyperlink"/>
          </w:rPr>
          <w:t>)</w:t>
        </w:r>
      </w:hyperlink>
      <w:r w:rsidRPr="0038215C">
        <w:rPr>
          <w:rFonts w:ascii="Calibri" w:eastAsia="Calibri" w:hAnsi="Calibri" w:cs="Calibri"/>
          <w:sz w:val="24"/>
          <w:szCs w:val="24"/>
        </w:rPr>
        <w:t xml:space="preserve"> </w:t>
      </w:r>
    </w:p>
    <w:p w14:paraId="78B205D7" w14:textId="011080E9" w:rsidR="00243152" w:rsidRDefault="00243152" w:rsidP="00243152">
      <w:pPr>
        <w:ind w:left="567"/>
        <w:rPr>
          <w:rFonts w:asciiTheme="majorHAnsi" w:hAnsiTheme="majorHAnsi" w:cstheme="majorHAnsi"/>
          <w:b/>
          <w:color w:val="0591B4"/>
          <w:sz w:val="28"/>
          <w:szCs w:val="28"/>
          <w:highlight w:val="white"/>
        </w:rPr>
      </w:pPr>
    </w:p>
    <w:p w14:paraId="712E114E" w14:textId="77777777" w:rsidR="00A27D88" w:rsidRDefault="00A27D88" w:rsidP="00243152">
      <w:pPr>
        <w:ind w:left="567"/>
        <w:rPr>
          <w:rFonts w:asciiTheme="majorHAnsi" w:hAnsiTheme="majorHAnsi" w:cstheme="majorHAnsi"/>
          <w:b/>
          <w:color w:val="0591B4"/>
          <w:sz w:val="28"/>
          <w:szCs w:val="28"/>
          <w:highlight w:val="white"/>
        </w:rPr>
      </w:pPr>
    </w:p>
    <w:p w14:paraId="5D8009D0" w14:textId="2A9279C3" w:rsidR="00243152" w:rsidRDefault="00243152" w:rsidP="00243152">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7B3DE4DB" w14:textId="77777777" w:rsidR="0030757E" w:rsidRDefault="0030757E" w:rsidP="00243152">
      <w:pPr>
        <w:ind w:left="568"/>
        <w:rPr>
          <w:rFonts w:ascii="Calibri" w:eastAsia="Calibri" w:hAnsi="Calibri" w:cs="Calibri"/>
          <w:sz w:val="24"/>
          <w:szCs w:val="24"/>
        </w:rPr>
      </w:pPr>
      <w:r>
        <w:rPr>
          <w:rFonts w:ascii="Calibri" w:eastAsia="Calibri" w:hAnsi="Calibri" w:cs="Calibri"/>
          <w:sz w:val="24"/>
          <w:szCs w:val="24"/>
        </w:rPr>
        <w:t xml:space="preserve">The best practice checklist was updated during, and following, the meeting.  It highlighted the need for ‘data risk’ to be added to the schools Business Continuity Plan.  A template can be found here: </w:t>
      </w:r>
    </w:p>
    <w:p w14:paraId="5881BE6E" w14:textId="77777777" w:rsidR="0030757E" w:rsidRDefault="0030757E" w:rsidP="00243152">
      <w:pPr>
        <w:ind w:left="568"/>
        <w:rPr>
          <w:rFonts w:ascii="Calibri" w:eastAsia="Calibri" w:hAnsi="Calibri" w:cs="Calibri"/>
          <w:sz w:val="24"/>
          <w:szCs w:val="24"/>
        </w:rPr>
      </w:pPr>
    </w:p>
    <w:p w14:paraId="47E34B94" w14:textId="78968187" w:rsidR="00A27D88" w:rsidRDefault="0030757E" w:rsidP="00243152">
      <w:pPr>
        <w:ind w:left="568"/>
        <w:rPr>
          <w:rFonts w:ascii="Calibri" w:eastAsia="Calibri" w:hAnsi="Calibri" w:cs="Calibri"/>
          <w:sz w:val="24"/>
          <w:szCs w:val="24"/>
        </w:rPr>
      </w:pPr>
      <w:hyperlink r:id="rId15" w:history="1">
        <w:r w:rsidRPr="0037567E">
          <w:rPr>
            <w:rStyle w:val="Hyperlink"/>
            <w:rFonts w:ascii="Calibri" w:eastAsia="Calibri" w:hAnsi="Calibri" w:cs="Calibri"/>
            <w:sz w:val="24"/>
            <w:szCs w:val="24"/>
          </w:rPr>
          <w:t>https://dataprotection.education/best-practice-library/documents/information-technology-security/131-dpe-business-continuity-template</w:t>
        </w:r>
      </w:hyperlink>
    </w:p>
    <w:p w14:paraId="5BA655D6" w14:textId="4B6D411E" w:rsidR="0030757E" w:rsidRDefault="0030757E" w:rsidP="00243152">
      <w:pPr>
        <w:ind w:left="568"/>
        <w:rPr>
          <w:rFonts w:ascii="Calibri" w:eastAsia="Calibri" w:hAnsi="Calibri" w:cs="Calibri"/>
          <w:sz w:val="24"/>
          <w:szCs w:val="24"/>
        </w:rPr>
      </w:pPr>
    </w:p>
    <w:p w14:paraId="3967FE5B" w14:textId="55157FC6" w:rsidR="0030757E" w:rsidRPr="008445CC" w:rsidRDefault="0030757E" w:rsidP="0030757E">
      <w:pPr>
        <w:ind w:left="568"/>
        <w:rPr>
          <w:rFonts w:ascii="Calibri" w:eastAsia="Calibri" w:hAnsi="Calibri" w:cs="Calibri"/>
          <w:bCs/>
          <w:color w:val="0591B4"/>
          <w:sz w:val="24"/>
          <w:szCs w:val="24"/>
        </w:rPr>
      </w:pPr>
      <w:r>
        <w:rPr>
          <w:rFonts w:ascii="Calibri" w:eastAsia="Calibri" w:hAnsi="Calibri" w:cs="Calibri"/>
          <w:sz w:val="24"/>
          <w:szCs w:val="24"/>
        </w:rPr>
        <w:t>Pages 8, 9 &amp; 10 have suggested areas to identify risk with regards to data and how to plan for a breach of data or unauthorised access.</w:t>
      </w:r>
    </w:p>
    <w:p w14:paraId="2237A2D5" w14:textId="12A20020" w:rsidR="008445CC" w:rsidRPr="008445CC" w:rsidRDefault="008445CC" w:rsidP="00FD136D">
      <w:pPr>
        <w:rPr>
          <w:rFonts w:ascii="Calibri" w:eastAsia="Calibri" w:hAnsi="Calibri" w:cs="Calibri"/>
          <w:bCs/>
          <w:color w:val="0591B4"/>
          <w:sz w:val="24"/>
          <w:szCs w:val="24"/>
        </w:rPr>
      </w:pPr>
    </w:p>
    <w:sectPr w:rsidR="008445CC" w:rsidRPr="008445CC">
      <w:headerReference w:type="default" r:id="rId16"/>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B9C6D" w14:textId="77777777" w:rsidR="004841DD" w:rsidRDefault="004841DD">
      <w:r>
        <w:separator/>
      </w:r>
    </w:p>
  </w:endnote>
  <w:endnote w:type="continuationSeparator" w:id="0">
    <w:p w14:paraId="6C19062E" w14:textId="77777777" w:rsidR="004841DD" w:rsidRDefault="00484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33093" w14:textId="77777777" w:rsidR="004841DD" w:rsidRDefault="004841DD">
      <w:r>
        <w:separator/>
      </w:r>
    </w:p>
  </w:footnote>
  <w:footnote w:type="continuationSeparator" w:id="0">
    <w:p w14:paraId="46CB49DC" w14:textId="77777777" w:rsidR="004841DD" w:rsidRDefault="00484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519596">
    <w:abstractNumId w:val="4"/>
  </w:num>
  <w:num w:numId="2" w16cid:durableId="1930577757">
    <w:abstractNumId w:val="8"/>
  </w:num>
  <w:num w:numId="3" w16cid:durableId="1665820052">
    <w:abstractNumId w:val="6"/>
  </w:num>
  <w:num w:numId="4" w16cid:durableId="1529101827">
    <w:abstractNumId w:val="5"/>
  </w:num>
  <w:num w:numId="5" w16cid:durableId="250360930">
    <w:abstractNumId w:val="7"/>
  </w:num>
  <w:num w:numId="6" w16cid:durableId="366222408">
    <w:abstractNumId w:val="10"/>
  </w:num>
  <w:num w:numId="7" w16cid:durableId="483855060">
    <w:abstractNumId w:val="12"/>
  </w:num>
  <w:num w:numId="8" w16cid:durableId="1361274229">
    <w:abstractNumId w:val="2"/>
  </w:num>
  <w:num w:numId="9" w16cid:durableId="428891731">
    <w:abstractNumId w:val="0"/>
  </w:num>
  <w:num w:numId="10" w16cid:durableId="1846432215">
    <w:abstractNumId w:val="3"/>
  </w:num>
  <w:num w:numId="11" w16cid:durableId="2055427442">
    <w:abstractNumId w:val="9"/>
  </w:num>
  <w:num w:numId="12" w16cid:durableId="797064266">
    <w:abstractNumId w:val="1"/>
  </w:num>
  <w:num w:numId="13" w16cid:durableId="369182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1282F"/>
    <w:rsid w:val="00033B92"/>
    <w:rsid w:val="00105E19"/>
    <w:rsid w:val="00113374"/>
    <w:rsid w:val="00195D96"/>
    <w:rsid w:val="001C6DAF"/>
    <w:rsid w:val="00202CE1"/>
    <w:rsid w:val="00243152"/>
    <w:rsid w:val="002C0202"/>
    <w:rsid w:val="00300424"/>
    <w:rsid w:val="0030757E"/>
    <w:rsid w:val="00345C75"/>
    <w:rsid w:val="003A2B0A"/>
    <w:rsid w:val="00403B35"/>
    <w:rsid w:val="00445379"/>
    <w:rsid w:val="004841DD"/>
    <w:rsid w:val="0058676E"/>
    <w:rsid w:val="0059446A"/>
    <w:rsid w:val="00603AD7"/>
    <w:rsid w:val="00604956"/>
    <w:rsid w:val="00611A4E"/>
    <w:rsid w:val="00613887"/>
    <w:rsid w:val="00672F2D"/>
    <w:rsid w:val="006F3F82"/>
    <w:rsid w:val="007C3BF4"/>
    <w:rsid w:val="007E6C25"/>
    <w:rsid w:val="00800627"/>
    <w:rsid w:val="00834BCB"/>
    <w:rsid w:val="008445CC"/>
    <w:rsid w:val="00846D9D"/>
    <w:rsid w:val="00865DB1"/>
    <w:rsid w:val="00872C54"/>
    <w:rsid w:val="0089095B"/>
    <w:rsid w:val="008E1965"/>
    <w:rsid w:val="00913FAF"/>
    <w:rsid w:val="009F7774"/>
    <w:rsid w:val="00A0195A"/>
    <w:rsid w:val="00A27D88"/>
    <w:rsid w:val="00AA23AC"/>
    <w:rsid w:val="00AA7836"/>
    <w:rsid w:val="00BA6DEA"/>
    <w:rsid w:val="00C00963"/>
    <w:rsid w:val="00C47D3A"/>
    <w:rsid w:val="00D477D3"/>
    <w:rsid w:val="00D57ECF"/>
    <w:rsid w:val="00D85F33"/>
    <w:rsid w:val="00DA1891"/>
    <w:rsid w:val="00DB49F8"/>
    <w:rsid w:val="00DF5BB8"/>
    <w:rsid w:val="00E32C17"/>
    <w:rsid w:val="00E52C61"/>
    <w:rsid w:val="00EA38A9"/>
    <w:rsid w:val="00EC5121"/>
    <w:rsid w:val="00ED1509"/>
    <w:rsid w:val="00F0714D"/>
    <w:rsid w:val="00F20D43"/>
    <w:rsid w:val="00F6187D"/>
    <w:rsid w:val="00FC54AB"/>
    <w:rsid w:val="00FD1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FD136D"/>
    <w:pPr>
      <w:ind w:left="720"/>
      <w:contextualSpacing/>
    </w:pPr>
  </w:style>
  <w:style w:type="character" w:styleId="UnresolvedMention">
    <w:name w:val="Unresolved Mention"/>
    <w:basedOn w:val="DefaultParagraphFont"/>
    <w:uiPriority w:val="99"/>
    <w:semiHidden/>
    <w:unhideWhenUsed/>
    <w:rsid w:val="00FD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documents/information-technology-security" TargetMode="External"/><Relationship Id="rId13" Type="http://schemas.openxmlformats.org/officeDocument/2006/relationships/hyperlink" Target="https://www.ncsc.gov.uk/information/school-governor-quest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protection.education/student-list/users?filter%5bagencies%5d=12" TargetMode="External"/><Relationship Id="rId12" Type="http://schemas.openxmlformats.org/officeDocument/2006/relationships/hyperlink" Target="https://www.ncsc.gov.uk/section/education-skills/school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csc.gov.uk/"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information-technology-security/131-dpe-business-continuity-template" TargetMode="External"/><Relationship Id="rId10" Type="http://schemas.openxmlformats.org/officeDocument/2006/relationships/hyperlink" Target="https://ico.org.uk/for-organisations/guide-to-data-protection/introduction-to-dpa-2018/about-the-dpa-2018/" TargetMode="External"/><Relationship Id="rId4" Type="http://schemas.openxmlformats.org/officeDocument/2006/relationships/webSettings" Target="webSettings.xml"/><Relationship Id="rId9" Type="http://schemas.openxmlformats.org/officeDocument/2006/relationships/hyperlink" Target="https://dataprotection.education/courses-heading/stay-safe-online-ncsc" TargetMode="External"/><Relationship Id="rId14" Type="http://schemas.openxmlformats.org/officeDocument/2006/relationships/hyperlink" Target="https://dataprotection.education/best-practice-library/documents/drip-fee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2</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6</cp:revision>
  <dcterms:created xsi:type="dcterms:W3CDTF">2023-02-27T10:21:00Z</dcterms:created>
  <dcterms:modified xsi:type="dcterms:W3CDTF">2023-02-27T12:04:00Z</dcterms:modified>
</cp:coreProperties>
</file>