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D69" w:rsidRPr="00940DAE" w:rsidRDefault="00A66600" w:rsidP="00B91223">
      <w:pPr>
        <w:spacing w:after="0" w:line="240" w:lineRule="auto"/>
        <w:jc w:val="center"/>
        <w:rPr>
          <w:rFonts w:ascii="Bookman Old Style" w:hAnsi="Bookman Old Style"/>
          <w:b/>
          <w:sz w:val="24"/>
          <w:szCs w:val="24"/>
        </w:rPr>
      </w:pPr>
      <w:r w:rsidRPr="00940DAE">
        <w:rPr>
          <w:rFonts w:ascii="Bookman Old Style" w:hAnsi="Bookman Old Style"/>
          <w:b/>
          <w:sz w:val="24"/>
          <w:szCs w:val="24"/>
        </w:rPr>
        <w:t>VRL LOGISTICS LIMITED</w:t>
      </w:r>
    </w:p>
    <w:p w:rsidR="00982896" w:rsidRPr="00940DAE" w:rsidRDefault="00982896" w:rsidP="00B91223">
      <w:pPr>
        <w:spacing w:after="0" w:line="240" w:lineRule="auto"/>
        <w:jc w:val="center"/>
        <w:rPr>
          <w:rFonts w:ascii="Bookman Old Style" w:hAnsi="Bookman Old Style"/>
          <w:b/>
          <w:sz w:val="24"/>
          <w:szCs w:val="24"/>
        </w:rPr>
      </w:pPr>
    </w:p>
    <w:p w:rsidR="00A66600" w:rsidRPr="00940DAE" w:rsidRDefault="00982896" w:rsidP="00B91223">
      <w:pPr>
        <w:spacing w:after="0" w:line="240" w:lineRule="auto"/>
        <w:jc w:val="center"/>
        <w:rPr>
          <w:rFonts w:ascii="Bookman Old Style" w:hAnsi="Bookman Old Style"/>
          <w:b/>
          <w:sz w:val="24"/>
          <w:szCs w:val="24"/>
          <w:u w:val="single"/>
        </w:rPr>
      </w:pPr>
      <w:r w:rsidRPr="00940DAE">
        <w:rPr>
          <w:rFonts w:ascii="Bookman Old Style" w:hAnsi="Bookman Old Style"/>
          <w:b/>
          <w:sz w:val="24"/>
          <w:szCs w:val="24"/>
          <w:u w:val="single"/>
        </w:rPr>
        <w:t>POLICY FOR DISCLOSURE OF EVENTS</w:t>
      </w:r>
    </w:p>
    <w:p w:rsidR="0025243C" w:rsidRPr="00940DAE" w:rsidRDefault="0025243C" w:rsidP="00021592">
      <w:pPr>
        <w:spacing w:after="0" w:line="240" w:lineRule="auto"/>
        <w:jc w:val="both"/>
        <w:rPr>
          <w:rFonts w:ascii="Bookman Old Style" w:hAnsi="Bookman Old Style"/>
          <w:b/>
          <w:sz w:val="24"/>
          <w:szCs w:val="24"/>
          <w:u w:val="single"/>
        </w:rPr>
      </w:pPr>
    </w:p>
    <w:p w:rsidR="00A66600" w:rsidRPr="00940DAE" w:rsidRDefault="00B270DB" w:rsidP="00021592">
      <w:pPr>
        <w:tabs>
          <w:tab w:val="left" w:pos="5692"/>
        </w:tabs>
        <w:spacing w:after="0" w:line="240" w:lineRule="auto"/>
        <w:jc w:val="both"/>
        <w:rPr>
          <w:rFonts w:ascii="Bookman Old Style" w:hAnsi="Bookman Old Style"/>
          <w:sz w:val="24"/>
          <w:szCs w:val="24"/>
        </w:rPr>
      </w:pPr>
      <w:r w:rsidRPr="00940DAE">
        <w:rPr>
          <w:rFonts w:ascii="Bookman Old Style" w:hAnsi="Bookman Old Style"/>
          <w:b/>
          <w:sz w:val="24"/>
          <w:szCs w:val="24"/>
        </w:rPr>
        <w:t xml:space="preserve">1. </w:t>
      </w:r>
      <w:r w:rsidR="00B91223" w:rsidRPr="00940DAE">
        <w:rPr>
          <w:rFonts w:ascii="Bookman Old Style" w:hAnsi="Bookman Old Style"/>
          <w:b/>
          <w:sz w:val="24"/>
          <w:szCs w:val="24"/>
        </w:rPr>
        <w:t>PREAMBLE</w:t>
      </w:r>
      <w:r w:rsidR="00A66600" w:rsidRPr="00940DAE">
        <w:rPr>
          <w:rFonts w:ascii="Bookman Old Style" w:hAnsi="Bookman Old Style"/>
          <w:sz w:val="24"/>
          <w:szCs w:val="24"/>
        </w:rPr>
        <w:t>:</w:t>
      </w:r>
    </w:p>
    <w:p w:rsidR="00451FF9" w:rsidRPr="00940DAE" w:rsidRDefault="00451FF9" w:rsidP="00021592">
      <w:pPr>
        <w:spacing w:after="0" w:line="240" w:lineRule="auto"/>
        <w:jc w:val="both"/>
        <w:rPr>
          <w:rFonts w:ascii="Bookman Old Style" w:hAnsi="Bookman Old Style"/>
          <w:sz w:val="24"/>
          <w:szCs w:val="24"/>
        </w:rPr>
      </w:pPr>
    </w:p>
    <w:p w:rsidR="00C8226A" w:rsidRPr="00940DAE" w:rsidRDefault="00C8226A" w:rsidP="00021592">
      <w:pPr>
        <w:spacing w:after="0" w:line="240" w:lineRule="auto"/>
        <w:jc w:val="both"/>
        <w:rPr>
          <w:rFonts w:ascii="Bookman Old Style" w:hAnsi="Bookman Old Style"/>
          <w:sz w:val="24"/>
          <w:szCs w:val="24"/>
        </w:rPr>
      </w:pPr>
      <w:r w:rsidRPr="00940DAE">
        <w:rPr>
          <w:rFonts w:ascii="Bookman Old Style" w:hAnsi="Bookman Old Style"/>
          <w:sz w:val="24"/>
          <w:szCs w:val="24"/>
        </w:rPr>
        <w:t>Pursuant to Regulation 30 (4) of the Securities and Exchange Board of India (Listing Obligations and Disclosure Requirements) Regulations 2015 (Hereinafter called as “</w:t>
      </w:r>
      <w:r w:rsidRPr="00940DAE">
        <w:rPr>
          <w:rFonts w:ascii="Bookman Old Style" w:hAnsi="Bookman Old Style"/>
          <w:b/>
          <w:sz w:val="24"/>
          <w:szCs w:val="24"/>
        </w:rPr>
        <w:t>The Regulations</w:t>
      </w:r>
      <w:r w:rsidRPr="00940DAE">
        <w:rPr>
          <w:rFonts w:ascii="Bookman Old Style" w:hAnsi="Bookman Old Style"/>
          <w:sz w:val="24"/>
          <w:szCs w:val="24"/>
        </w:rPr>
        <w:t xml:space="preserve">”) every listed Company shall frame a policy for determination of Materiality based on the criteria specified in the said regulations. This policy </w:t>
      </w:r>
      <w:r w:rsidRPr="00940DAE">
        <w:rPr>
          <w:rFonts w:ascii="Bookman Old Style" w:hAnsi="Bookman Old Style"/>
          <w:i/>
          <w:sz w:val="24"/>
          <w:szCs w:val="24"/>
        </w:rPr>
        <w:t xml:space="preserve">inter alia </w:t>
      </w:r>
      <w:r w:rsidRPr="00940DAE">
        <w:rPr>
          <w:rFonts w:ascii="Bookman Old Style" w:hAnsi="Bookman Old Style"/>
          <w:sz w:val="24"/>
          <w:szCs w:val="24"/>
        </w:rPr>
        <w:t>provides for method</w:t>
      </w:r>
      <w:r w:rsidR="003343C6" w:rsidRPr="00940DAE">
        <w:rPr>
          <w:rFonts w:ascii="Bookman Old Style" w:hAnsi="Bookman Old Style"/>
          <w:sz w:val="24"/>
          <w:szCs w:val="24"/>
        </w:rPr>
        <w:t>ology for</w:t>
      </w:r>
      <w:r w:rsidRPr="00940DAE">
        <w:rPr>
          <w:rFonts w:ascii="Bookman Old Style" w:hAnsi="Bookman Old Style"/>
          <w:sz w:val="24"/>
          <w:szCs w:val="24"/>
        </w:rPr>
        <w:t xml:space="preserve"> determining a</w:t>
      </w:r>
      <w:r w:rsidR="003343C6" w:rsidRPr="00940DAE">
        <w:rPr>
          <w:rFonts w:ascii="Bookman Old Style" w:hAnsi="Bookman Old Style"/>
          <w:sz w:val="24"/>
          <w:szCs w:val="24"/>
        </w:rPr>
        <w:t>n</w:t>
      </w:r>
      <w:r w:rsidRPr="00940DAE">
        <w:rPr>
          <w:rFonts w:ascii="Bookman Old Style" w:hAnsi="Bookman Old Style"/>
          <w:sz w:val="24"/>
          <w:szCs w:val="24"/>
        </w:rPr>
        <w:t xml:space="preserve"> event or information to be categorized as Material which would then </w:t>
      </w:r>
      <w:r w:rsidR="003343C6" w:rsidRPr="00940DAE">
        <w:rPr>
          <w:rFonts w:ascii="Bookman Old Style" w:hAnsi="Bookman Old Style"/>
          <w:sz w:val="24"/>
          <w:szCs w:val="24"/>
        </w:rPr>
        <w:t xml:space="preserve">required to </w:t>
      </w:r>
      <w:r w:rsidRPr="00940DAE">
        <w:rPr>
          <w:rFonts w:ascii="Bookman Old Style" w:hAnsi="Bookman Old Style"/>
          <w:sz w:val="24"/>
          <w:szCs w:val="24"/>
        </w:rPr>
        <w:t xml:space="preserve">be intimated to Stock Exchanges where the shares of the Company are listed.  </w:t>
      </w:r>
    </w:p>
    <w:p w:rsidR="00A66600" w:rsidRPr="00940DAE" w:rsidRDefault="00A66600" w:rsidP="00021592">
      <w:pPr>
        <w:spacing w:after="0" w:line="240" w:lineRule="auto"/>
        <w:jc w:val="both"/>
        <w:rPr>
          <w:rFonts w:ascii="Bookman Old Style" w:hAnsi="Bookman Old Style"/>
          <w:b/>
          <w:sz w:val="24"/>
          <w:szCs w:val="24"/>
        </w:rPr>
      </w:pPr>
    </w:p>
    <w:p w:rsidR="00A66600" w:rsidRPr="00940DAE" w:rsidRDefault="00B270DB" w:rsidP="00021592">
      <w:pPr>
        <w:spacing w:after="0" w:line="240" w:lineRule="auto"/>
        <w:jc w:val="both"/>
        <w:rPr>
          <w:rFonts w:ascii="Bookman Old Style" w:hAnsi="Bookman Old Style"/>
          <w:b/>
          <w:sz w:val="24"/>
          <w:szCs w:val="24"/>
        </w:rPr>
      </w:pPr>
      <w:r w:rsidRPr="00940DAE">
        <w:rPr>
          <w:rFonts w:ascii="Bookman Old Style" w:hAnsi="Bookman Old Style"/>
          <w:b/>
          <w:sz w:val="24"/>
          <w:szCs w:val="24"/>
        </w:rPr>
        <w:t xml:space="preserve">1.2 </w:t>
      </w:r>
      <w:r w:rsidR="00B91223" w:rsidRPr="00940DAE">
        <w:rPr>
          <w:rFonts w:ascii="Bookman Old Style" w:hAnsi="Bookman Old Style"/>
          <w:b/>
          <w:sz w:val="24"/>
          <w:szCs w:val="24"/>
        </w:rPr>
        <w:t>OBJECTIVE:</w:t>
      </w:r>
    </w:p>
    <w:p w:rsidR="00451FF9" w:rsidRPr="00940DAE" w:rsidRDefault="00451FF9" w:rsidP="00021592">
      <w:pPr>
        <w:spacing w:after="0" w:line="240" w:lineRule="auto"/>
        <w:jc w:val="both"/>
        <w:rPr>
          <w:rFonts w:ascii="Bookman Old Style" w:hAnsi="Bookman Old Style"/>
          <w:sz w:val="24"/>
          <w:szCs w:val="24"/>
        </w:rPr>
      </w:pPr>
    </w:p>
    <w:p w:rsidR="00A66600" w:rsidRPr="00940DAE" w:rsidRDefault="00A66600" w:rsidP="00021592">
      <w:pPr>
        <w:spacing w:after="0" w:line="240" w:lineRule="auto"/>
        <w:jc w:val="both"/>
        <w:rPr>
          <w:rFonts w:ascii="Bookman Old Style" w:hAnsi="Bookman Old Style"/>
          <w:sz w:val="24"/>
          <w:szCs w:val="24"/>
        </w:rPr>
      </w:pPr>
      <w:r w:rsidRPr="00940DAE">
        <w:rPr>
          <w:rFonts w:ascii="Bookman Old Style" w:hAnsi="Bookman Old Style"/>
          <w:sz w:val="24"/>
          <w:szCs w:val="24"/>
        </w:rPr>
        <w:t xml:space="preserve">This policy is intended to ensure the proper </w:t>
      </w:r>
      <w:r w:rsidR="000C43DA" w:rsidRPr="00940DAE">
        <w:rPr>
          <w:rFonts w:ascii="Bookman Old Style" w:hAnsi="Bookman Old Style"/>
          <w:sz w:val="24"/>
          <w:szCs w:val="24"/>
        </w:rPr>
        <w:t>disclosure</w:t>
      </w:r>
      <w:r w:rsidRPr="00940DAE">
        <w:rPr>
          <w:rFonts w:ascii="Bookman Old Style" w:hAnsi="Bookman Old Style"/>
          <w:sz w:val="24"/>
          <w:szCs w:val="24"/>
        </w:rPr>
        <w:t xml:space="preserve"> and reporting of </w:t>
      </w:r>
      <w:r w:rsidR="000C43DA" w:rsidRPr="00940DAE">
        <w:rPr>
          <w:rFonts w:ascii="Bookman Old Style" w:hAnsi="Bookman Old Style"/>
          <w:sz w:val="24"/>
          <w:szCs w:val="24"/>
        </w:rPr>
        <w:t>events or material information</w:t>
      </w:r>
      <w:r w:rsidRPr="00940DAE">
        <w:rPr>
          <w:rFonts w:ascii="Bookman Old Style" w:hAnsi="Bookman Old Style"/>
          <w:sz w:val="24"/>
          <w:szCs w:val="24"/>
        </w:rPr>
        <w:t xml:space="preserve"> as applicable, </w:t>
      </w:r>
      <w:r w:rsidR="000C43DA" w:rsidRPr="00940DAE">
        <w:rPr>
          <w:rFonts w:ascii="Bookman Old Style" w:hAnsi="Bookman Old Style"/>
          <w:sz w:val="24"/>
          <w:szCs w:val="24"/>
        </w:rPr>
        <w:t>to the Stock Exchanges where the shares of the Company are listed</w:t>
      </w:r>
      <w:r w:rsidRPr="00940DAE">
        <w:rPr>
          <w:rFonts w:ascii="Bookman Old Style" w:hAnsi="Bookman Old Style"/>
          <w:sz w:val="24"/>
          <w:szCs w:val="24"/>
        </w:rPr>
        <w:t>.   Provisions of this policy are designed to govern the disclosure</w:t>
      </w:r>
      <w:r w:rsidR="000C43DA" w:rsidRPr="00940DAE">
        <w:rPr>
          <w:rFonts w:ascii="Bookman Old Style" w:hAnsi="Bookman Old Style"/>
          <w:sz w:val="24"/>
          <w:szCs w:val="24"/>
        </w:rPr>
        <w:t xml:space="preserve"> and reporting </w:t>
      </w:r>
      <w:r w:rsidRPr="00940DAE">
        <w:rPr>
          <w:rFonts w:ascii="Bookman Old Style" w:hAnsi="Bookman Old Style"/>
          <w:sz w:val="24"/>
          <w:szCs w:val="24"/>
        </w:rPr>
        <w:t>requirements to ensure fairness</w:t>
      </w:r>
      <w:r w:rsidR="000C43DA" w:rsidRPr="00940DAE">
        <w:rPr>
          <w:rFonts w:ascii="Bookman Old Style" w:hAnsi="Bookman Old Style"/>
          <w:sz w:val="24"/>
          <w:szCs w:val="24"/>
        </w:rPr>
        <w:t xml:space="preserve"> and promptness</w:t>
      </w:r>
      <w:r w:rsidRPr="00940DAE">
        <w:rPr>
          <w:rFonts w:ascii="Bookman Old Style" w:hAnsi="Bookman Old Style"/>
          <w:sz w:val="24"/>
          <w:szCs w:val="24"/>
        </w:rPr>
        <w:t xml:space="preserve"> in the </w:t>
      </w:r>
      <w:r w:rsidR="000C43DA" w:rsidRPr="00940DAE">
        <w:rPr>
          <w:rFonts w:ascii="Bookman Old Style" w:hAnsi="Bookman Old Style"/>
          <w:sz w:val="24"/>
          <w:szCs w:val="24"/>
        </w:rPr>
        <w:t>reporting and disclosure of material events or information as may be applicable</w:t>
      </w:r>
      <w:r w:rsidR="00F1070D" w:rsidRPr="00940DAE">
        <w:rPr>
          <w:rFonts w:ascii="Bookman Old Style" w:hAnsi="Bookman Old Style"/>
          <w:sz w:val="24"/>
          <w:szCs w:val="24"/>
        </w:rPr>
        <w:t xml:space="preserve"> in spirit as well as in</w:t>
      </w:r>
      <w:r w:rsidRPr="00940DAE">
        <w:rPr>
          <w:rFonts w:ascii="Bookman Old Style" w:hAnsi="Bookman Old Style"/>
          <w:sz w:val="24"/>
          <w:szCs w:val="24"/>
        </w:rPr>
        <w:t xml:space="preserve"> </w:t>
      </w:r>
      <w:r w:rsidR="00F1070D" w:rsidRPr="00940DAE">
        <w:rPr>
          <w:rFonts w:ascii="Bookman Old Style" w:hAnsi="Bookman Old Style"/>
          <w:sz w:val="24"/>
          <w:szCs w:val="24"/>
        </w:rPr>
        <w:t>compliance with</w:t>
      </w:r>
      <w:r w:rsidRPr="00940DAE">
        <w:rPr>
          <w:rFonts w:ascii="Bookman Old Style" w:hAnsi="Bookman Old Style"/>
          <w:sz w:val="24"/>
          <w:szCs w:val="24"/>
        </w:rPr>
        <w:t xml:space="preserve"> the applicable laws. Further, the Board may amend this policy from time to time as may be required. The Board of Directors </w:t>
      </w:r>
      <w:proofErr w:type="gramStart"/>
      <w:r w:rsidRPr="00940DAE">
        <w:rPr>
          <w:rFonts w:ascii="Bookman Old Style" w:hAnsi="Bookman Old Style"/>
          <w:sz w:val="24"/>
          <w:szCs w:val="24"/>
        </w:rPr>
        <w:t>reserve</w:t>
      </w:r>
      <w:proofErr w:type="gramEnd"/>
      <w:r w:rsidRPr="00940DAE">
        <w:rPr>
          <w:rFonts w:ascii="Bookman Old Style" w:hAnsi="Bookman Old Style"/>
          <w:sz w:val="24"/>
          <w:szCs w:val="24"/>
        </w:rPr>
        <w:t xml:space="preserve"> the power to review and amend this policy from time to time. </w:t>
      </w:r>
    </w:p>
    <w:p w:rsidR="00A66600" w:rsidRPr="00940DAE" w:rsidRDefault="00A66600" w:rsidP="00021592">
      <w:pPr>
        <w:spacing w:after="0" w:line="240" w:lineRule="auto"/>
        <w:jc w:val="both"/>
        <w:rPr>
          <w:rFonts w:ascii="Bookman Old Style" w:hAnsi="Bookman Old Style"/>
          <w:sz w:val="24"/>
          <w:szCs w:val="24"/>
        </w:rPr>
      </w:pPr>
    </w:p>
    <w:p w:rsidR="00A66600" w:rsidRPr="00940DAE" w:rsidRDefault="00A66600" w:rsidP="00021592">
      <w:pPr>
        <w:spacing w:after="0" w:line="240" w:lineRule="auto"/>
        <w:jc w:val="both"/>
        <w:rPr>
          <w:rFonts w:ascii="Bookman Old Style" w:hAnsi="Bookman Old Style"/>
          <w:sz w:val="24"/>
          <w:szCs w:val="24"/>
        </w:rPr>
      </w:pPr>
      <w:r w:rsidRPr="00940DAE">
        <w:rPr>
          <w:rFonts w:ascii="Bookman Old Style" w:hAnsi="Bookman Old Style"/>
          <w:sz w:val="24"/>
          <w:szCs w:val="24"/>
        </w:rPr>
        <w:t xml:space="preserve">This policy is framed as per requirement of </w:t>
      </w:r>
      <w:r w:rsidR="000C43DA" w:rsidRPr="00940DAE">
        <w:rPr>
          <w:rFonts w:ascii="Bookman Old Style" w:hAnsi="Bookman Old Style"/>
          <w:sz w:val="24"/>
          <w:szCs w:val="24"/>
        </w:rPr>
        <w:t>Regulation</w:t>
      </w:r>
      <w:r w:rsidRPr="00940DAE">
        <w:rPr>
          <w:rFonts w:ascii="Bookman Old Style" w:hAnsi="Bookman Old Style"/>
          <w:sz w:val="24"/>
          <w:szCs w:val="24"/>
        </w:rPr>
        <w:t xml:space="preserve"> </w:t>
      </w:r>
      <w:r w:rsidR="000C43DA" w:rsidRPr="00940DAE">
        <w:rPr>
          <w:rFonts w:ascii="Bookman Old Style" w:hAnsi="Bookman Old Style"/>
          <w:sz w:val="24"/>
          <w:szCs w:val="24"/>
        </w:rPr>
        <w:t>30 (4) of SEBI (Listing Obligations and Disclosure Requirements) Regulations 2015</w:t>
      </w:r>
      <w:r w:rsidRPr="00940DAE">
        <w:rPr>
          <w:rFonts w:ascii="Bookman Old Style" w:hAnsi="Bookman Old Style"/>
          <w:sz w:val="24"/>
          <w:szCs w:val="24"/>
        </w:rPr>
        <w:t xml:space="preserve">. </w:t>
      </w:r>
    </w:p>
    <w:p w:rsidR="001678E1" w:rsidRPr="00940DAE" w:rsidRDefault="001678E1" w:rsidP="00021592">
      <w:pPr>
        <w:spacing w:after="0" w:line="240" w:lineRule="auto"/>
        <w:jc w:val="both"/>
        <w:rPr>
          <w:rFonts w:ascii="Bookman Old Style" w:hAnsi="Bookman Old Style"/>
          <w:b/>
          <w:sz w:val="24"/>
          <w:szCs w:val="24"/>
        </w:rPr>
      </w:pPr>
    </w:p>
    <w:p w:rsidR="00A66600" w:rsidRPr="00940DAE" w:rsidRDefault="00B270DB" w:rsidP="00021592">
      <w:pPr>
        <w:spacing w:after="0" w:line="240" w:lineRule="auto"/>
        <w:jc w:val="both"/>
        <w:rPr>
          <w:rFonts w:ascii="Bookman Old Style" w:hAnsi="Bookman Old Style"/>
          <w:b/>
          <w:sz w:val="24"/>
          <w:szCs w:val="24"/>
        </w:rPr>
      </w:pPr>
      <w:r w:rsidRPr="00940DAE">
        <w:rPr>
          <w:rFonts w:ascii="Bookman Old Style" w:hAnsi="Bookman Old Style"/>
          <w:b/>
          <w:sz w:val="24"/>
          <w:szCs w:val="24"/>
        </w:rPr>
        <w:t xml:space="preserve">2. </w:t>
      </w:r>
      <w:r w:rsidR="00B91223" w:rsidRPr="00940DAE">
        <w:rPr>
          <w:rFonts w:ascii="Bookman Old Style" w:hAnsi="Bookman Old Style"/>
          <w:b/>
          <w:sz w:val="24"/>
          <w:szCs w:val="24"/>
        </w:rPr>
        <w:t>DEFINITIONS</w:t>
      </w:r>
    </w:p>
    <w:p w:rsidR="00A66600" w:rsidRPr="00940DAE" w:rsidRDefault="00A66600" w:rsidP="00021592">
      <w:pPr>
        <w:spacing w:after="0" w:line="240" w:lineRule="auto"/>
        <w:jc w:val="both"/>
        <w:rPr>
          <w:rFonts w:ascii="Bookman Old Style" w:hAnsi="Bookman Old Style"/>
          <w:b/>
          <w:sz w:val="24"/>
          <w:szCs w:val="24"/>
        </w:rPr>
      </w:pPr>
    </w:p>
    <w:p w:rsidR="00B270DB" w:rsidRPr="00940DAE" w:rsidRDefault="00B270DB" w:rsidP="00940DAE">
      <w:pPr>
        <w:spacing w:after="0" w:line="240" w:lineRule="auto"/>
        <w:ind w:left="1098" w:hanging="1098"/>
        <w:jc w:val="both"/>
        <w:rPr>
          <w:rFonts w:ascii="Bookman Old Style" w:hAnsi="Bookman Old Style"/>
          <w:sz w:val="24"/>
          <w:szCs w:val="24"/>
        </w:rPr>
      </w:pPr>
      <w:r w:rsidRPr="00940DAE">
        <w:rPr>
          <w:rFonts w:ascii="Bookman Old Style" w:hAnsi="Bookman Old Style"/>
          <w:sz w:val="24"/>
          <w:szCs w:val="24"/>
        </w:rPr>
        <w:t>2.1 Act</w:t>
      </w:r>
      <w:r w:rsidR="00A66600" w:rsidRPr="00940DAE">
        <w:rPr>
          <w:rFonts w:ascii="Bookman Old Style" w:hAnsi="Bookman Old Style"/>
          <w:sz w:val="24"/>
          <w:szCs w:val="24"/>
        </w:rPr>
        <w:t xml:space="preserve">: “Act” means the Companies Act, 2013 including any amendment or modification thereof. </w:t>
      </w:r>
    </w:p>
    <w:p w:rsidR="00B270DB" w:rsidRPr="00940DAE" w:rsidRDefault="00B270DB" w:rsidP="00021592">
      <w:pPr>
        <w:spacing w:after="0" w:line="240" w:lineRule="auto"/>
        <w:jc w:val="both"/>
        <w:rPr>
          <w:rFonts w:ascii="Bookman Old Style" w:hAnsi="Bookman Old Style"/>
          <w:sz w:val="24"/>
          <w:szCs w:val="24"/>
        </w:rPr>
      </w:pPr>
    </w:p>
    <w:p w:rsidR="00B270DB" w:rsidRPr="00940DAE" w:rsidRDefault="00D90D9A" w:rsidP="00021592">
      <w:pPr>
        <w:spacing w:after="0" w:line="240" w:lineRule="auto"/>
        <w:ind w:left="360" w:hanging="342"/>
        <w:jc w:val="both"/>
        <w:rPr>
          <w:rFonts w:ascii="Bookman Old Style" w:hAnsi="Bookman Old Style"/>
          <w:sz w:val="24"/>
          <w:szCs w:val="24"/>
        </w:rPr>
      </w:pPr>
      <w:r w:rsidRPr="00940DAE">
        <w:rPr>
          <w:rFonts w:ascii="Bookman Old Style" w:hAnsi="Bookman Old Style"/>
          <w:sz w:val="24"/>
          <w:szCs w:val="24"/>
        </w:rPr>
        <w:t>2.</w:t>
      </w:r>
      <w:r w:rsidR="00326025" w:rsidRPr="00940DAE">
        <w:rPr>
          <w:rFonts w:ascii="Bookman Old Style" w:hAnsi="Bookman Old Style"/>
          <w:sz w:val="24"/>
          <w:szCs w:val="24"/>
        </w:rPr>
        <w:t>2</w:t>
      </w:r>
      <w:r w:rsidRPr="00940DAE">
        <w:rPr>
          <w:rFonts w:ascii="Bookman Old Style" w:hAnsi="Bookman Old Style"/>
          <w:sz w:val="24"/>
          <w:szCs w:val="24"/>
        </w:rPr>
        <w:t xml:space="preserve"> Board: Board means Board of Directors of the Company</w:t>
      </w:r>
      <w:r w:rsidR="00A66600" w:rsidRPr="00940DAE">
        <w:rPr>
          <w:rFonts w:ascii="Bookman Old Style" w:hAnsi="Bookman Old Style"/>
          <w:sz w:val="24"/>
          <w:szCs w:val="24"/>
        </w:rPr>
        <w:t xml:space="preserve"> </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Pr="00940DAE" w:rsidRDefault="00326025" w:rsidP="00021592">
      <w:pPr>
        <w:spacing w:after="0" w:line="240" w:lineRule="auto"/>
        <w:ind w:left="360" w:hanging="342"/>
        <w:jc w:val="both"/>
        <w:rPr>
          <w:rFonts w:ascii="Bookman Old Style" w:hAnsi="Bookman Old Style"/>
          <w:sz w:val="24"/>
          <w:szCs w:val="24"/>
        </w:rPr>
      </w:pPr>
      <w:r w:rsidRPr="00940DAE">
        <w:rPr>
          <w:rFonts w:ascii="Bookman Old Style" w:hAnsi="Bookman Old Style"/>
          <w:sz w:val="24"/>
          <w:szCs w:val="24"/>
        </w:rPr>
        <w:t>2.3</w:t>
      </w:r>
      <w:r w:rsidR="00A66600" w:rsidRPr="00940DAE">
        <w:rPr>
          <w:rFonts w:ascii="Bookman Old Style" w:hAnsi="Bookman Old Style"/>
          <w:sz w:val="24"/>
          <w:szCs w:val="24"/>
        </w:rPr>
        <w:t xml:space="preserve"> Company: “Company” means </w:t>
      </w:r>
      <w:r w:rsidR="00B270DB" w:rsidRPr="00940DAE">
        <w:rPr>
          <w:rFonts w:ascii="Bookman Old Style" w:hAnsi="Bookman Old Style"/>
          <w:sz w:val="24"/>
          <w:szCs w:val="24"/>
        </w:rPr>
        <w:t>VRL Logistics</w:t>
      </w:r>
      <w:r w:rsidR="00A66600" w:rsidRPr="00940DAE">
        <w:rPr>
          <w:rFonts w:ascii="Bookman Old Style" w:hAnsi="Bookman Old Style"/>
          <w:sz w:val="24"/>
          <w:szCs w:val="24"/>
        </w:rPr>
        <w:t xml:space="preserve"> Limited. </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Pr="00940DAE" w:rsidRDefault="00940DAE" w:rsidP="00940DAE">
      <w:pPr>
        <w:spacing w:after="0" w:line="240" w:lineRule="auto"/>
        <w:ind w:left="1710" w:hanging="1755"/>
        <w:jc w:val="both"/>
        <w:rPr>
          <w:rFonts w:ascii="Bookman Old Style" w:hAnsi="Bookman Old Style"/>
          <w:sz w:val="24"/>
          <w:szCs w:val="24"/>
        </w:rPr>
      </w:pPr>
      <w:r>
        <w:rPr>
          <w:rFonts w:ascii="Bookman Old Style" w:hAnsi="Bookman Old Style"/>
          <w:sz w:val="24"/>
          <w:szCs w:val="24"/>
        </w:rPr>
        <w:t xml:space="preserve"> </w:t>
      </w:r>
      <w:r w:rsidR="00326025" w:rsidRPr="00940DAE">
        <w:rPr>
          <w:rFonts w:ascii="Bookman Old Style" w:hAnsi="Bookman Old Style"/>
          <w:sz w:val="24"/>
          <w:szCs w:val="24"/>
        </w:rPr>
        <w:t>2.4</w:t>
      </w:r>
      <w:r>
        <w:rPr>
          <w:rFonts w:ascii="Bookman Old Style" w:hAnsi="Bookman Old Style"/>
          <w:sz w:val="24"/>
          <w:szCs w:val="24"/>
        </w:rPr>
        <w:t xml:space="preserve"> </w:t>
      </w:r>
      <w:r w:rsidR="00A66600" w:rsidRPr="00940DAE">
        <w:rPr>
          <w:rFonts w:ascii="Bookman Old Style" w:hAnsi="Bookman Old Style"/>
          <w:sz w:val="24"/>
          <w:szCs w:val="24"/>
        </w:rPr>
        <w:t xml:space="preserve">Director: “Director” means a person as defined in Section 2(34) of the Companies Act, 2013. </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Pr="00940DAE" w:rsidRDefault="00326025" w:rsidP="00940DAE">
      <w:pPr>
        <w:spacing w:after="0" w:line="240" w:lineRule="auto"/>
        <w:ind w:left="1890" w:hanging="1872"/>
        <w:jc w:val="both"/>
        <w:rPr>
          <w:rFonts w:ascii="Bookman Old Style" w:hAnsi="Bookman Old Style"/>
          <w:sz w:val="24"/>
          <w:szCs w:val="24"/>
        </w:rPr>
      </w:pPr>
      <w:r w:rsidRPr="00940DAE">
        <w:rPr>
          <w:rFonts w:ascii="Bookman Old Style" w:hAnsi="Bookman Old Style"/>
          <w:sz w:val="24"/>
          <w:szCs w:val="24"/>
        </w:rPr>
        <w:t>2.5</w:t>
      </w:r>
      <w:r w:rsidR="00A66600" w:rsidRPr="00940DAE">
        <w:rPr>
          <w:rFonts w:ascii="Bookman Old Style" w:hAnsi="Bookman Old Style"/>
          <w:sz w:val="24"/>
          <w:szCs w:val="24"/>
        </w:rPr>
        <w:t xml:space="preserve"> Employees: “Employees” shall mean the employees and office-bearers of the Company, including but not limited to Whole Time Directors. </w:t>
      </w:r>
    </w:p>
    <w:p w:rsidR="00B270DB" w:rsidRPr="00940DAE" w:rsidRDefault="00B270DB" w:rsidP="00021592">
      <w:pPr>
        <w:spacing w:after="0" w:line="240" w:lineRule="auto"/>
        <w:ind w:left="360" w:hanging="342"/>
        <w:jc w:val="both"/>
        <w:rPr>
          <w:rFonts w:ascii="Bookman Old Style" w:hAnsi="Bookman Old Style"/>
          <w:sz w:val="24"/>
          <w:szCs w:val="24"/>
        </w:rPr>
      </w:pPr>
    </w:p>
    <w:p w:rsidR="00B270DB" w:rsidRPr="00940DAE" w:rsidRDefault="00326025" w:rsidP="00021592">
      <w:pPr>
        <w:spacing w:after="0" w:line="240" w:lineRule="auto"/>
        <w:ind w:left="360" w:hanging="342"/>
        <w:jc w:val="both"/>
        <w:rPr>
          <w:rFonts w:ascii="Bookman Old Style" w:hAnsi="Bookman Old Style"/>
          <w:sz w:val="24"/>
          <w:szCs w:val="24"/>
        </w:rPr>
      </w:pPr>
      <w:r w:rsidRPr="00940DAE">
        <w:rPr>
          <w:rFonts w:ascii="Bookman Old Style" w:hAnsi="Bookman Old Style"/>
          <w:sz w:val="24"/>
          <w:szCs w:val="24"/>
        </w:rPr>
        <w:lastRenderedPageBreak/>
        <w:t>2.6</w:t>
      </w:r>
      <w:r w:rsidR="00A66600" w:rsidRPr="00940DAE">
        <w:rPr>
          <w:rFonts w:ascii="Bookman Old Style" w:hAnsi="Bookman Old Style"/>
          <w:sz w:val="24"/>
          <w:szCs w:val="24"/>
        </w:rPr>
        <w:t xml:space="preserve"> Key Managerial Personnel: “Key Managerial Personnel” shall mean the officers of the Company as defined in Section 2(51) of the Companies Act, 2013 and rules prescribed there</w:t>
      </w:r>
      <w:r w:rsidR="0086679A">
        <w:rPr>
          <w:rFonts w:ascii="Bookman Old Style" w:hAnsi="Bookman Old Style"/>
          <w:sz w:val="24"/>
          <w:szCs w:val="24"/>
        </w:rPr>
        <w:t xml:space="preserve"> </w:t>
      </w:r>
      <w:r w:rsidR="00A66600" w:rsidRPr="00940DAE">
        <w:rPr>
          <w:rFonts w:ascii="Bookman Old Style" w:hAnsi="Bookman Old Style"/>
          <w:sz w:val="24"/>
          <w:szCs w:val="24"/>
        </w:rPr>
        <w:t xml:space="preserve">under. </w:t>
      </w:r>
    </w:p>
    <w:p w:rsidR="00B270DB" w:rsidRPr="00940DAE" w:rsidRDefault="00B270DB" w:rsidP="00021592">
      <w:pPr>
        <w:spacing w:after="0" w:line="240" w:lineRule="auto"/>
        <w:ind w:left="360" w:hanging="342"/>
        <w:jc w:val="both"/>
        <w:rPr>
          <w:rFonts w:ascii="Bookman Old Style" w:hAnsi="Bookman Old Style"/>
          <w:sz w:val="24"/>
          <w:szCs w:val="24"/>
        </w:rPr>
      </w:pPr>
    </w:p>
    <w:p w:rsidR="00D90D9A" w:rsidRPr="00940DAE" w:rsidRDefault="00326025" w:rsidP="00021592">
      <w:pPr>
        <w:spacing w:after="0" w:line="240" w:lineRule="auto"/>
        <w:ind w:left="450" w:hanging="432"/>
        <w:jc w:val="both"/>
        <w:rPr>
          <w:rFonts w:ascii="Bookman Old Style" w:hAnsi="Bookman Old Style"/>
          <w:sz w:val="24"/>
          <w:szCs w:val="24"/>
        </w:rPr>
      </w:pPr>
      <w:r w:rsidRPr="00940DAE">
        <w:rPr>
          <w:rFonts w:ascii="Bookman Old Style" w:hAnsi="Bookman Old Style"/>
          <w:sz w:val="24"/>
          <w:szCs w:val="24"/>
        </w:rPr>
        <w:t>2.7</w:t>
      </w:r>
      <w:r w:rsidR="00A66600" w:rsidRPr="00940DAE">
        <w:rPr>
          <w:rFonts w:ascii="Bookman Old Style" w:hAnsi="Bookman Old Style"/>
          <w:sz w:val="24"/>
          <w:szCs w:val="24"/>
        </w:rPr>
        <w:t xml:space="preserve"> Material </w:t>
      </w:r>
      <w:r w:rsidR="00D90D9A" w:rsidRPr="00940DAE">
        <w:rPr>
          <w:rFonts w:ascii="Bookman Old Style" w:hAnsi="Bookman Old Style"/>
          <w:sz w:val="24"/>
          <w:szCs w:val="24"/>
        </w:rPr>
        <w:t>event or information</w:t>
      </w:r>
      <w:r w:rsidR="00A66600" w:rsidRPr="00940DAE">
        <w:rPr>
          <w:rFonts w:ascii="Bookman Old Style" w:hAnsi="Bookman Old Style"/>
          <w:sz w:val="24"/>
          <w:szCs w:val="24"/>
        </w:rPr>
        <w:t xml:space="preserve">: “Material </w:t>
      </w:r>
      <w:r w:rsidR="00D90D9A" w:rsidRPr="00940DAE">
        <w:rPr>
          <w:rFonts w:ascii="Bookman Old Style" w:hAnsi="Bookman Old Style"/>
          <w:sz w:val="24"/>
          <w:szCs w:val="24"/>
        </w:rPr>
        <w:t>event or information</w:t>
      </w:r>
      <w:r w:rsidR="00A66600" w:rsidRPr="00940DAE">
        <w:rPr>
          <w:rFonts w:ascii="Bookman Old Style" w:hAnsi="Bookman Old Style"/>
          <w:sz w:val="24"/>
          <w:szCs w:val="24"/>
        </w:rPr>
        <w:t>” shall m</w:t>
      </w:r>
      <w:r w:rsidR="00D90D9A" w:rsidRPr="00940DAE">
        <w:rPr>
          <w:rFonts w:ascii="Bookman Old Style" w:hAnsi="Bookman Old Style"/>
          <w:sz w:val="24"/>
          <w:szCs w:val="24"/>
        </w:rPr>
        <w:t>ean any event or information which in the opinion of Board is material and includes events or information</w:t>
      </w:r>
      <w:r w:rsidR="00160F25" w:rsidRPr="00940DAE">
        <w:rPr>
          <w:rFonts w:ascii="Bookman Old Style" w:hAnsi="Bookman Old Style"/>
          <w:sz w:val="24"/>
          <w:szCs w:val="24"/>
        </w:rPr>
        <w:t xml:space="preserve"> omission of which</w:t>
      </w:r>
      <w:r w:rsidR="00D90D9A" w:rsidRPr="00940DAE">
        <w:rPr>
          <w:rFonts w:ascii="Bookman Old Style" w:hAnsi="Bookman Old Style"/>
          <w:sz w:val="24"/>
          <w:szCs w:val="24"/>
        </w:rPr>
        <w:t>:</w:t>
      </w:r>
    </w:p>
    <w:p w:rsidR="003343C6" w:rsidRPr="00940DAE" w:rsidRDefault="003343C6" w:rsidP="00021592">
      <w:pPr>
        <w:spacing w:after="0" w:line="240" w:lineRule="auto"/>
        <w:ind w:left="450" w:hanging="432"/>
        <w:jc w:val="both"/>
        <w:rPr>
          <w:rFonts w:ascii="Bookman Old Style" w:hAnsi="Bookman Old Style"/>
          <w:sz w:val="24"/>
          <w:szCs w:val="24"/>
        </w:rPr>
      </w:pPr>
    </w:p>
    <w:p w:rsidR="00B270DB" w:rsidRPr="00940DAE" w:rsidRDefault="00160F25" w:rsidP="00021592">
      <w:pPr>
        <w:spacing w:after="0" w:line="240" w:lineRule="auto"/>
        <w:ind w:left="450" w:hanging="432"/>
        <w:jc w:val="both"/>
        <w:rPr>
          <w:rFonts w:ascii="Bookman Old Style" w:hAnsi="Bookman Old Style"/>
          <w:sz w:val="24"/>
          <w:szCs w:val="24"/>
        </w:rPr>
      </w:pPr>
      <w:r w:rsidRPr="00940DAE">
        <w:rPr>
          <w:rFonts w:ascii="Bookman Old Style" w:hAnsi="Bookman Old Style"/>
          <w:sz w:val="24"/>
          <w:szCs w:val="24"/>
        </w:rPr>
        <w:tab/>
      </w:r>
      <w:proofErr w:type="gramStart"/>
      <w:r w:rsidRPr="00940DAE">
        <w:rPr>
          <w:rFonts w:ascii="Bookman Old Style" w:hAnsi="Bookman Old Style"/>
          <w:sz w:val="24"/>
          <w:szCs w:val="24"/>
        </w:rPr>
        <w:t>a</w:t>
      </w:r>
      <w:proofErr w:type="gramEnd"/>
      <w:r w:rsidRPr="00940DAE">
        <w:rPr>
          <w:rFonts w:ascii="Bookman Old Style" w:hAnsi="Bookman Old Style"/>
          <w:sz w:val="24"/>
          <w:szCs w:val="24"/>
        </w:rPr>
        <w:t>) is likely to result in discontinuity or alteration of event of information already available publicly</w:t>
      </w:r>
    </w:p>
    <w:p w:rsidR="00160F25" w:rsidRPr="00940DAE" w:rsidRDefault="00160F25" w:rsidP="00021592">
      <w:pPr>
        <w:spacing w:after="0" w:line="240" w:lineRule="auto"/>
        <w:ind w:left="450" w:hanging="432"/>
        <w:jc w:val="both"/>
        <w:rPr>
          <w:rFonts w:ascii="Bookman Old Style" w:hAnsi="Bookman Old Style"/>
          <w:sz w:val="24"/>
          <w:szCs w:val="24"/>
        </w:rPr>
      </w:pPr>
    </w:p>
    <w:p w:rsidR="00160F25" w:rsidRPr="00940DAE" w:rsidRDefault="00160F25" w:rsidP="00021592">
      <w:pPr>
        <w:spacing w:after="0" w:line="240" w:lineRule="auto"/>
        <w:ind w:left="450" w:hanging="432"/>
        <w:jc w:val="both"/>
        <w:rPr>
          <w:rFonts w:ascii="Bookman Old Style" w:hAnsi="Bookman Old Style"/>
          <w:sz w:val="24"/>
          <w:szCs w:val="24"/>
        </w:rPr>
      </w:pPr>
      <w:r w:rsidRPr="00940DAE">
        <w:rPr>
          <w:rFonts w:ascii="Bookman Old Style" w:hAnsi="Bookman Old Style"/>
          <w:sz w:val="24"/>
          <w:szCs w:val="24"/>
        </w:rPr>
        <w:tab/>
      </w:r>
      <w:proofErr w:type="gramStart"/>
      <w:r w:rsidRPr="00940DAE">
        <w:rPr>
          <w:rFonts w:ascii="Bookman Old Style" w:hAnsi="Bookman Old Style"/>
          <w:sz w:val="24"/>
          <w:szCs w:val="24"/>
        </w:rPr>
        <w:t>b</w:t>
      </w:r>
      <w:proofErr w:type="gramEnd"/>
      <w:r w:rsidRPr="00940DAE">
        <w:rPr>
          <w:rFonts w:ascii="Bookman Old Style" w:hAnsi="Bookman Old Style"/>
          <w:sz w:val="24"/>
          <w:szCs w:val="24"/>
        </w:rPr>
        <w:t>) is likely to result in significant market reaction if the said omission came to light at a later date</w:t>
      </w:r>
    </w:p>
    <w:p w:rsidR="00B270DB" w:rsidRPr="00940DAE" w:rsidRDefault="00B270DB" w:rsidP="00021592">
      <w:pPr>
        <w:spacing w:after="0" w:line="240" w:lineRule="auto"/>
        <w:ind w:left="360" w:hanging="342"/>
        <w:jc w:val="both"/>
        <w:rPr>
          <w:rFonts w:ascii="Bookman Old Style" w:hAnsi="Bookman Old Style"/>
          <w:sz w:val="24"/>
          <w:szCs w:val="24"/>
        </w:rPr>
      </w:pPr>
    </w:p>
    <w:p w:rsidR="00326025" w:rsidRPr="00940DAE" w:rsidRDefault="00326025" w:rsidP="00940DAE">
      <w:pPr>
        <w:spacing w:after="0" w:line="240" w:lineRule="auto"/>
        <w:ind w:left="621" w:hanging="603"/>
        <w:jc w:val="both"/>
        <w:rPr>
          <w:rFonts w:ascii="Bookman Old Style" w:hAnsi="Bookman Old Style"/>
          <w:sz w:val="24"/>
          <w:szCs w:val="24"/>
        </w:rPr>
      </w:pPr>
      <w:r w:rsidRPr="00940DAE">
        <w:rPr>
          <w:rFonts w:ascii="Bookman Old Style" w:hAnsi="Bookman Old Style"/>
          <w:sz w:val="24"/>
          <w:szCs w:val="24"/>
        </w:rPr>
        <w:t xml:space="preserve">2.8 </w:t>
      </w:r>
      <w:r w:rsidR="00940DAE">
        <w:rPr>
          <w:rFonts w:ascii="Bookman Old Style" w:hAnsi="Bookman Old Style"/>
          <w:sz w:val="24"/>
          <w:szCs w:val="24"/>
        </w:rPr>
        <w:tab/>
      </w:r>
      <w:r w:rsidRPr="00940DAE">
        <w:rPr>
          <w:rFonts w:ascii="Bookman Old Style" w:hAnsi="Bookman Old Style"/>
          <w:sz w:val="24"/>
          <w:szCs w:val="24"/>
        </w:rPr>
        <w:t>Regulations: “Regulations” shall mean SEBI (Listing Obligations and Disclosure Requirements) Regulations 2015</w:t>
      </w:r>
    </w:p>
    <w:p w:rsidR="00B270DB" w:rsidRPr="00940DAE" w:rsidRDefault="00B270DB" w:rsidP="00021592">
      <w:pPr>
        <w:spacing w:after="0" w:line="240" w:lineRule="auto"/>
        <w:ind w:left="360" w:hanging="342"/>
        <w:jc w:val="both"/>
        <w:rPr>
          <w:rFonts w:ascii="Bookman Old Style" w:hAnsi="Bookman Old Style"/>
          <w:sz w:val="24"/>
          <w:szCs w:val="24"/>
        </w:rPr>
      </w:pPr>
    </w:p>
    <w:p w:rsidR="00326025" w:rsidRPr="00940DAE" w:rsidRDefault="00326025" w:rsidP="00940DAE">
      <w:pPr>
        <w:spacing w:after="0" w:line="240" w:lineRule="auto"/>
        <w:ind w:left="702" w:hanging="684"/>
        <w:jc w:val="both"/>
        <w:rPr>
          <w:rFonts w:ascii="Bookman Old Style" w:hAnsi="Bookman Old Style"/>
          <w:sz w:val="24"/>
          <w:szCs w:val="24"/>
        </w:rPr>
      </w:pPr>
      <w:r w:rsidRPr="00940DAE">
        <w:rPr>
          <w:rFonts w:ascii="Bookman Old Style" w:hAnsi="Bookman Old Style"/>
          <w:sz w:val="24"/>
          <w:szCs w:val="24"/>
        </w:rPr>
        <w:t xml:space="preserve">2.9 </w:t>
      </w:r>
      <w:r w:rsidR="00940DAE">
        <w:rPr>
          <w:rFonts w:ascii="Bookman Old Style" w:hAnsi="Bookman Old Style"/>
          <w:sz w:val="24"/>
          <w:szCs w:val="24"/>
        </w:rPr>
        <w:tab/>
      </w:r>
      <w:r w:rsidRPr="00940DAE">
        <w:rPr>
          <w:rFonts w:ascii="Bookman Old Style" w:hAnsi="Bookman Old Style"/>
          <w:sz w:val="24"/>
          <w:szCs w:val="24"/>
        </w:rPr>
        <w:t>Stock Exchange or Exchanges: “Stock Exchange or Exchanges” shall mean BSE Limited and National Stock Exchange of India Limited</w:t>
      </w:r>
    </w:p>
    <w:p w:rsidR="00326025" w:rsidRPr="00940DAE" w:rsidRDefault="00326025" w:rsidP="00021592">
      <w:pPr>
        <w:spacing w:after="0" w:line="240" w:lineRule="auto"/>
        <w:ind w:left="360" w:hanging="342"/>
        <w:jc w:val="both"/>
        <w:rPr>
          <w:rFonts w:ascii="Bookman Old Style" w:hAnsi="Bookman Old Style"/>
          <w:sz w:val="24"/>
          <w:szCs w:val="24"/>
        </w:rPr>
      </w:pPr>
    </w:p>
    <w:p w:rsidR="000519B2" w:rsidRPr="00940DAE" w:rsidRDefault="00326025" w:rsidP="00940DAE">
      <w:pPr>
        <w:spacing w:after="0" w:line="240" w:lineRule="auto"/>
        <w:ind w:left="693" w:hanging="675"/>
        <w:jc w:val="both"/>
        <w:rPr>
          <w:rFonts w:ascii="Bookman Old Style" w:hAnsi="Bookman Old Style"/>
          <w:sz w:val="24"/>
          <w:szCs w:val="24"/>
        </w:rPr>
      </w:pPr>
      <w:r w:rsidRPr="00940DAE">
        <w:rPr>
          <w:rFonts w:ascii="Bookman Old Style" w:hAnsi="Bookman Old Style"/>
          <w:sz w:val="24"/>
          <w:szCs w:val="24"/>
        </w:rPr>
        <w:t>2.10</w:t>
      </w:r>
      <w:r w:rsidR="00A66600" w:rsidRPr="00940DAE">
        <w:rPr>
          <w:rFonts w:ascii="Bookman Old Style" w:hAnsi="Bookman Old Style"/>
          <w:sz w:val="24"/>
          <w:szCs w:val="24"/>
        </w:rPr>
        <w:t xml:space="preserve"> Any other term not defined herein shall have the same meaning as defined in the</w:t>
      </w:r>
      <w:r w:rsidR="003343C6" w:rsidRPr="00940DAE">
        <w:rPr>
          <w:rFonts w:ascii="Bookman Old Style" w:hAnsi="Bookman Old Style"/>
          <w:sz w:val="24"/>
          <w:szCs w:val="24"/>
        </w:rPr>
        <w:t xml:space="preserve"> SEBI (Listing Obligations and Disclosure Requirements) Regulations 2015,</w:t>
      </w:r>
      <w:r w:rsidR="00A66600" w:rsidRPr="00940DAE">
        <w:rPr>
          <w:rFonts w:ascii="Bookman Old Style" w:hAnsi="Bookman Old Style"/>
          <w:sz w:val="24"/>
          <w:szCs w:val="24"/>
        </w:rPr>
        <w:t xml:space="preserve"> Companies Act, 2013, Securities Contract Regulation Act or any other applicable law or regulation</w:t>
      </w:r>
      <w:r w:rsidR="003343C6" w:rsidRPr="00940DAE">
        <w:rPr>
          <w:rFonts w:ascii="Bookman Old Style" w:hAnsi="Bookman Old Style"/>
          <w:sz w:val="24"/>
          <w:szCs w:val="24"/>
        </w:rPr>
        <w:t>s</w:t>
      </w:r>
      <w:r w:rsidR="00A66600" w:rsidRPr="00940DAE">
        <w:rPr>
          <w:rFonts w:ascii="Bookman Old Style" w:hAnsi="Bookman Old Style"/>
          <w:sz w:val="24"/>
          <w:szCs w:val="24"/>
        </w:rPr>
        <w:t>.</w:t>
      </w:r>
    </w:p>
    <w:p w:rsidR="00B91223" w:rsidRPr="00940DAE" w:rsidRDefault="00B91223" w:rsidP="00021592">
      <w:pPr>
        <w:jc w:val="both"/>
        <w:rPr>
          <w:rFonts w:ascii="Bookman Old Style" w:hAnsi="Bookman Old Style"/>
          <w:b/>
          <w:sz w:val="24"/>
          <w:szCs w:val="24"/>
        </w:rPr>
      </w:pPr>
    </w:p>
    <w:p w:rsidR="00326025" w:rsidRPr="00940DAE" w:rsidRDefault="00326025" w:rsidP="00940DAE">
      <w:pPr>
        <w:ind w:left="477" w:hanging="477"/>
        <w:jc w:val="both"/>
        <w:rPr>
          <w:rFonts w:ascii="Bookman Old Style" w:hAnsi="Bookman Old Style"/>
          <w:b/>
          <w:sz w:val="24"/>
          <w:szCs w:val="24"/>
        </w:rPr>
      </w:pPr>
      <w:r w:rsidRPr="00940DAE">
        <w:rPr>
          <w:rFonts w:ascii="Bookman Old Style" w:hAnsi="Bookman Old Style"/>
          <w:b/>
          <w:sz w:val="24"/>
          <w:szCs w:val="24"/>
        </w:rPr>
        <w:t xml:space="preserve">3. </w:t>
      </w:r>
      <w:r w:rsidR="00B91223" w:rsidRPr="00940DAE">
        <w:rPr>
          <w:rFonts w:ascii="Bookman Old Style" w:hAnsi="Bookman Old Style"/>
          <w:b/>
          <w:sz w:val="24"/>
          <w:szCs w:val="24"/>
        </w:rPr>
        <w:t xml:space="preserve">CRITERIA FOR DETERMINATION OF MATERIALITY OF EVENTS / INFORMATION </w:t>
      </w:r>
    </w:p>
    <w:p w:rsidR="00532EAC" w:rsidRPr="00940DAE" w:rsidRDefault="00326025" w:rsidP="00940DAE">
      <w:pPr>
        <w:ind w:left="450" w:hanging="450"/>
        <w:jc w:val="both"/>
        <w:rPr>
          <w:rFonts w:ascii="Bookman Old Style" w:hAnsi="Bookman Old Style"/>
          <w:sz w:val="24"/>
          <w:szCs w:val="24"/>
        </w:rPr>
      </w:pPr>
      <w:r w:rsidRPr="00940DAE">
        <w:rPr>
          <w:rFonts w:ascii="Bookman Old Style" w:hAnsi="Bookman Old Style"/>
          <w:sz w:val="24"/>
          <w:szCs w:val="24"/>
        </w:rPr>
        <w:t xml:space="preserve">3.1 The </w:t>
      </w:r>
      <w:r w:rsidR="003343C6" w:rsidRPr="00940DAE">
        <w:rPr>
          <w:rFonts w:ascii="Bookman Old Style" w:hAnsi="Bookman Old Style"/>
          <w:sz w:val="24"/>
          <w:szCs w:val="24"/>
        </w:rPr>
        <w:t xml:space="preserve">following shall be </w:t>
      </w:r>
      <w:r w:rsidRPr="00940DAE">
        <w:rPr>
          <w:rFonts w:ascii="Bookman Old Style" w:hAnsi="Bookman Old Style"/>
          <w:sz w:val="24"/>
          <w:szCs w:val="24"/>
        </w:rPr>
        <w:t xml:space="preserve">the criteria for determination of materiality of events / information </w:t>
      </w:r>
      <w:r w:rsidR="00532EAC" w:rsidRPr="00940DAE">
        <w:rPr>
          <w:rFonts w:ascii="Bookman Old Style" w:hAnsi="Bookman Old Style"/>
          <w:sz w:val="24"/>
          <w:szCs w:val="24"/>
        </w:rPr>
        <w:t>in compliance with the Regulations:</w:t>
      </w:r>
    </w:p>
    <w:p w:rsidR="00532EAC" w:rsidRPr="00940DAE" w:rsidRDefault="00532EAC" w:rsidP="00021592">
      <w:pPr>
        <w:ind w:left="567" w:hanging="207"/>
        <w:jc w:val="both"/>
        <w:rPr>
          <w:rFonts w:ascii="Bookman Old Style" w:hAnsi="Bookman Old Style"/>
          <w:sz w:val="24"/>
          <w:szCs w:val="24"/>
        </w:rPr>
      </w:pPr>
      <w:r w:rsidRPr="00940DAE">
        <w:rPr>
          <w:rFonts w:ascii="Bookman Old Style" w:hAnsi="Bookman Old Style"/>
          <w:sz w:val="24"/>
          <w:szCs w:val="24"/>
        </w:rPr>
        <w:t xml:space="preserve">a. The event / information shall be considered material if </w:t>
      </w:r>
      <w:r w:rsidR="0086679A">
        <w:rPr>
          <w:rFonts w:ascii="Bookman Old Style" w:hAnsi="Bookman Old Style"/>
          <w:sz w:val="24"/>
          <w:szCs w:val="24"/>
        </w:rPr>
        <w:t xml:space="preserve">its </w:t>
      </w:r>
      <w:r w:rsidRPr="00940DAE">
        <w:rPr>
          <w:rFonts w:ascii="Bookman Old Style" w:hAnsi="Bookman Old Style"/>
          <w:sz w:val="24"/>
          <w:szCs w:val="24"/>
        </w:rPr>
        <w:t xml:space="preserve">omission  would </w:t>
      </w:r>
      <w:r w:rsidR="0086679A">
        <w:rPr>
          <w:rFonts w:ascii="Bookman Old Style" w:hAnsi="Bookman Old Style"/>
          <w:sz w:val="24"/>
          <w:szCs w:val="24"/>
        </w:rPr>
        <w:t xml:space="preserve">in the opinion of the Board </w:t>
      </w:r>
      <w:r w:rsidRPr="00940DAE">
        <w:rPr>
          <w:rFonts w:ascii="Bookman Old Style" w:hAnsi="Bookman Old Style"/>
          <w:sz w:val="24"/>
          <w:szCs w:val="24"/>
        </w:rPr>
        <w:t>result in discontinuity or alteration of event or information already available publicly; or</w:t>
      </w:r>
    </w:p>
    <w:p w:rsidR="00532EAC" w:rsidRPr="00940DAE" w:rsidRDefault="00532EAC" w:rsidP="00021592">
      <w:pPr>
        <w:ind w:left="567" w:hanging="207"/>
        <w:jc w:val="both"/>
        <w:rPr>
          <w:rFonts w:ascii="Bookman Old Style" w:hAnsi="Bookman Old Style"/>
          <w:sz w:val="24"/>
          <w:szCs w:val="24"/>
        </w:rPr>
      </w:pPr>
      <w:r w:rsidRPr="00940DAE">
        <w:rPr>
          <w:rFonts w:ascii="Bookman Old Style" w:hAnsi="Bookman Old Style"/>
          <w:sz w:val="24"/>
          <w:szCs w:val="24"/>
        </w:rPr>
        <w:t>b. The event / information shall be considered material if the omission of an event or information is likely to result in significant market reaction if the said omission came to light at later date</w:t>
      </w:r>
    </w:p>
    <w:p w:rsidR="00532EAC" w:rsidRPr="00940DAE" w:rsidRDefault="00532EAC" w:rsidP="00940DAE">
      <w:pPr>
        <w:ind w:left="513" w:hanging="513"/>
        <w:jc w:val="both"/>
        <w:rPr>
          <w:rFonts w:ascii="Bookman Old Style" w:hAnsi="Bookman Old Style"/>
          <w:sz w:val="24"/>
          <w:szCs w:val="24"/>
        </w:rPr>
      </w:pPr>
      <w:r w:rsidRPr="00940DAE">
        <w:rPr>
          <w:rFonts w:ascii="Bookman Old Style" w:hAnsi="Bookman Old Style"/>
          <w:sz w:val="24"/>
          <w:szCs w:val="24"/>
        </w:rPr>
        <w:t xml:space="preserve">3.2 The events / information </w:t>
      </w:r>
      <w:r w:rsidR="0086679A">
        <w:rPr>
          <w:rFonts w:ascii="Bookman Old Style" w:hAnsi="Bookman Old Style"/>
          <w:sz w:val="24"/>
          <w:szCs w:val="24"/>
        </w:rPr>
        <w:t xml:space="preserve">enlisted under Clause </w:t>
      </w:r>
      <w:r w:rsidRPr="00940DAE">
        <w:rPr>
          <w:rFonts w:ascii="Bookman Old Style" w:hAnsi="Bookman Old Style"/>
          <w:sz w:val="24"/>
          <w:szCs w:val="24"/>
        </w:rPr>
        <w:t xml:space="preserve">4 </w:t>
      </w:r>
      <w:proofErr w:type="spellStart"/>
      <w:r w:rsidR="0086679A">
        <w:rPr>
          <w:rFonts w:ascii="Bookman Old Style" w:hAnsi="Bookman Old Style"/>
          <w:sz w:val="24"/>
          <w:szCs w:val="24"/>
        </w:rPr>
        <w:t>hereinbelow</w:t>
      </w:r>
      <w:proofErr w:type="spellEnd"/>
      <w:r w:rsidR="0086679A">
        <w:rPr>
          <w:rFonts w:ascii="Bookman Old Style" w:hAnsi="Bookman Old Style"/>
          <w:sz w:val="24"/>
          <w:szCs w:val="24"/>
        </w:rPr>
        <w:t xml:space="preserve"> </w:t>
      </w:r>
      <w:r w:rsidRPr="00940DAE">
        <w:rPr>
          <w:rFonts w:ascii="Bookman Old Style" w:hAnsi="Bookman Old Style"/>
          <w:sz w:val="24"/>
          <w:szCs w:val="24"/>
        </w:rPr>
        <w:t>shall be</w:t>
      </w:r>
      <w:r w:rsidR="004963B3" w:rsidRPr="00940DAE">
        <w:rPr>
          <w:rFonts w:ascii="Bookman Old Style" w:hAnsi="Bookman Old Style"/>
          <w:sz w:val="24"/>
          <w:szCs w:val="24"/>
        </w:rPr>
        <w:t xml:space="preserve"> treated as material and</w:t>
      </w:r>
      <w:r w:rsidRPr="00940DAE">
        <w:rPr>
          <w:rFonts w:ascii="Bookman Old Style" w:hAnsi="Bookman Old Style"/>
          <w:sz w:val="24"/>
          <w:szCs w:val="24"/>
        </w:rPr>
        <w:t xml:space="preserve"> </w:t>
      </w:r>
      <w:r w:rsidR="0086679A">
        <w:rPr>
          <w:rFonts w:ascii="Bookman Old Style" w:hAnsi="Bookman Old Style"/>
          <w:sz w:val="24"/>
          <w:szCs w:val="24"/>
        </w:rPr>
        <w:t xml:space="preserve">shall </w:t>
      </w:r>
      <w:r w:rsidR="003343C6" w:rsidRPr="00940DAE">
        <w:rPr>
          <w:rFonts w:ascii="Bookman Old Style" w:hAnsi="Bookman Old Style"/>
          <w:sz w:val="24"/>
          <w:szCs w:val="24"/>
        </w:rPr>
        <w:t>require to be</w:t>
      </w:r>
      <w:r w:rsidRPr="00940DAE">
        <w:rPr>
          <w:rFonts w:ascii="Bookman Old Style" w:hAnsi="Bookman Old Style"/>
          <w:sz w:val="24"/>
          <w:szCs w:val="24"/>
        </w:rPr>
        <w:t xml:space="preserve"> intimated to the stock exchanges </w:t>
      </w:r>
      <w:r w:rsidR="0086679A">
        <w:rPr>
          <w:rFonts w:ascii="Bookman Old Style" w:hAnsi="Bookman Old Style"/>
          <w:sz w:val="24"/>
          <w:szCs w:val="24"/>
        </w:rPr>
        <w:t>within</w:t>
      </w:r>
      <w:r w:rsidRPr="00940DAE">
        <w:rPr>
          <w:rFonts w:ascii="Bookman Old Style" w:hAnsi="Bookman Old Style"/>
          <w:sz w:val="24"/>
          <w:szCs w:val="24"/>
        </w:rPr>
        <w:t xml:space="preserve"> the time lines specified in </w:t>
      </w:r>
      <w:r w:rsidR="0086679A" w:rsidRPr="00940DAE">
        <w:rPr>
          <w:rFonts w:ascii="Bookman Old Style" w:hAnsi="Bookman Old Style"/>
          <w:sz w:val="24"/>
          <w:szCs w:val="24"/>
        </w:rPr>
        <w:t>th</w:t>
      </w:r>
      <w:r w:rsidR="0086679A">
        <w:rPr>
          <w:rFonts w:ascii="Bookman Old Style" w:hAnsi="Bookman Old Style"/>
          <w:sz w:val="24"/>
          <w:szCs w:val="24"/>
        </w:rPr>
        <w:t>is</w:t>
      </w:r>
      <w:r w:rsidR="0086679A" w:rsidRPr="00940DAE">
        <w:rPr>
          <w:rFonts w:ascii="Bookman Old Style" w:hAnsi="Bookman Old Style"/>
          <w:sz w:val="24"/>
          <w:szCs w:val="24"/>
        </w:rPr>
        <w:t xml:space="preserve"> </w:t>
      </w:r>
      <w:r w:rsidRPr="00940DAE">
        <w:rPr>
          <w:rFonts w:ascii="Bookman Old Style" w:hAnsi="Bookman Old Style"/>
          <w:sz w:val="24"/>
          <w:szCs w:val="24"/>
        </w:rPr>
        <w:t>policy.</w:t>
      </w:r>
    </w:p>
    <w:p w:rsidR="00940DAE" w:rsidRDefault="00940DAE" w:rsidP="00021592">
      <w:pPr>
        <w:jc w:val="both"/>
        <w:rPr>
          <w:rFonts w:ascii="Bookman Old Style" w:hAnsi="Bookman Old Style"/>
          <w:b/>
          <w:sz w:val="24"/>
          <w:szCs w:val="24"/>
        </w:rPr>
      </w:pPr>
    </w:p>
    <w:p w:rsidR="00940DAE" w:rsidRDefault="00940DAE" w:rsidP="00021592">
      <w:pPr>
        <w:jc w:val="both"/>
        <w:rPr>
          <w:rFonts w:ascii="Bookman Old Style" w:hAnsi="Bookman Old Style"/>
          <w:b/>
          <w:sz w:val="24"/>
          <w:szCs w:val="24"/>
        </w:rPr>
      </w:pPr>
    </w:p>
    <w:p w:rsidR="00532EAC" w:rsidRPr="00940DAE" w:rsidRDefault="00B91223" w:rsidP="00021592">
      <w:pPr>
        <w:jc w:val="both"/>
        <w:rPr>
          <w:rFonts w:ascii="Bookman Old Style" w:hAnsi="Bookman Old Style"/>
          <w:b/>
          <w:sz w:val="24"/>
          <w:szCs w:val="24"/>
        </w:rPr>
      </w:pPr>
      <w:r w:rsidRPr="00940DAE">
        <w:rPr>
          <w:rFonts w:ascii="Bookman Old Style" w:hAnsi="Bookman Old Style"/>
          <w:b/>
          <w:sz w:val="24"/>
          <w:szCs w:val="24"/>
        </w:rPr>
        <w:t>4. MATERIAL EVENTS / INFORMATION</w:t>
      </w:r>
    </w:p>
    <w:p w:rsidR="004963B3" w:rsidRPr="00940DAE" w:rsidRDefault="004963B3" w:rsidP="00021592">
      <w:pPr>
        <w:jc w:val="both"/>
        <w:rPr>
          <w:rFonts w:ascii="Bookman Old Style" w:hAnsi="Bookman Old Style"/>
          <w:sz w:val="24"/>
          <w:szCs w:val="24"/>
        </w:rPr>
      </w:pPr>
      <w:r w:rsidRPr="00940DAE">
        <w:rPr>
          <w:rFonts w:ascii="Bookman Old Style" w:hAnsi="Bookman Old Style"/>
          <w:sz w:val="24"/>
          <w:szCs w:val="24"/>
        </w:rPr>
        <w:t>Notwithstanding anything contained in Clause 3.1 of the Policy, the following events / information shall be treated as Material and</w:t>
      </w:r>
      <w:r w:rsidR="003343C6" w:rsidRPr="00940DAE">
        <w:rPr>
          <w:rFonts w:ascii="Bookman Old Style" w:hAnsi="Bookman Old Style"/>
          <w:sz w:val="24"/>
          <w:szCs w:val="24"/>
        </w:rPr>
        <w:t xml:space="preserve"> </w:t>
      </w:r>
      <w:r w:rsidR="0086679A">
        <w:rPr>
          <w:rFonts w:ascii="Bookman Old Style" w:hAnsi="Bookman Old Style"/>
          <w:sz w:val="24"/>
          <w:szCs w:val="24"/>
        </w:rPr>
        <w:t xml:space="preserve">are </w:t>
      </w:r>
      <w:r w:rsidR="003343C6" w:rsidRPr="00940DAE">
        <w:rPr>
          <w:rFonts w:ascii="Bookman Old Style" w:hAnsi="Bookman Old Style"/>
          <w:sz w:val="24"/>
          <w:szCs w:val="24"/>
        </w:rPr>
        <w:t>required to be</w:t>
      </w:r>
      <w:r w:rsidRPr="00940DAE">
        <w:rPr>
          <w:rFonts w:ascii="Bookman Old Style" w:hAnsi="Bookman Old Style"/>
          <w:sz w:val="24"/>
          <w:szCs w:val="24"/>
        </w:rPr>
        <w:t xml:space="preserve"> intimated to Stock Exchanges</w:t>
      </w:r>
      <w:r w:rsidR="003343C6" w:rsidRPr="00940DAE">
        <w:rPr>
          <w:rFonts w:ascii="Bookman Old Style" w:hAnsi="Bookman Old Style"/>
          <w:sz w:val="24"/>
          <w:szCs w:val="24"/>
        </w:rPr>
        <w:t xml:space="preserve"> on the </w:t>
      </w:r>
      <w:r w:rsidR="0086679A">
        <w:rPr>
          <w:rFonts w:ascii="Bookman Old Style" w:hAnsi="Bookman Old Style"/>
          <w:sz w:val="24"/>
          <w:szCs w:val="24"/>
        </w:rPr>
        <w:t xml:space="preserve">occurrence </w:t>
      </w:r>
      <w:r w:rsidR="003343C6" w:rsidRPr="00940DAE">
        <w:rPr>
          <w:rFonts w:ascii="Bookman Old Style" w:hAnsi="Bookman Old Style"/>
          <w:sz w:val="24"/>
          <w:szCs w:val="24"/>
        </w:rPr>
        <w:t xml:space="preserve">of </w:t>
      </w:r>
      <w:r w:rsidR="0086679A">
        <w:rPr>
          <w:rFonts w:ascii="Bookman Old Style" w:hAnsi="Bookman Old Style"/>
          <w:sz w:val="24"/>
          <w:szCs w:val="24"/>
        </w:rPr>
        <w:t xml:space="preserve">such </w:t>
      </w:r>
      <w:r w:rsidR="003343C6" w:rsidRPr="00940DAE">
        <w:rPr>
          <w:rFonts w:ascii="Bookman Old Style" w:hAnsi="Bookman Old Style"/>
          <w:sz w:val="24"/>
          <w:szCs w:val="24"/>
        </w:rPr>
        <w:t xml:space="preserve">event or </w:t>
      </w:r>
      <w:r w:rsidR="0086679A">
        <w:rPr>
          <w:rFonts w:ascii="Bookman Old Style" w:hAnsi="Bookman Old Style"/>
          <w:sz w:val="24"/>
          <w:szCs w:val="24"/>
        </w:rPr>
        <w:t xml:space="preserve">upon receiving </w:t>
      </w:r>
      <w:r w:rsidR="003343C6" w:rsidRPr="00940DAE">
        <w:rPr>
          <w:rFonts w:ascii="Bookman Old Style" w:hAnsi="Bookman Old Style"/>
          <w:sz w:val="24"/>
          <w:szCs w:val="24"/>
        </w:rPr>
        <w:t>information</w:t>
      </w:r>
      <w:r w:rsidRPr="00940DAE">
        <w:rPr>
          <w:rFonts w:ascii="Bookman Old Style" w:hAnsi="Bookman Old Style"/>
          <w:sz w:val="24"/>
          <w:szCs w:val="24"/>
        </w:rPr>
        <w:t xml:space="preserve"> </w:t>
      </w:r>
      <w:r w:rsidR="0086679A">
        <w:rPr>
          <w:rFonts w:ascii="Bookman Old Style" w:hAnsi="Bookman Old Style"/>
          <w:sz w:val="24"/>
          <w:szCs w:val="24"/>
        </w:rPr>
        <w:t xml:space="preserve">and that such intimation would need to be made </w:t>
      </w:r>
      <w:r w:rsidRPr="00940DAE">
        <w:rPr>
          <w:rFonts w:ascii="Bookman Old Style" w:hAnsi="Bookman Old Style"/>
          <w:sz w:val="24"/>
          <w:szCs w:val="24"/>
        </w:rPr>
        <w:t>within the timelines specified hereunder:</w:t>
      </w: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Commencement or any postponement in the date of commencement of commercial production or commercial operations of any unit/division of the Company.</w:t>
      </w:r>
    </w:p>
    <w:p w:rsidR="004963B3" w:rsidRPr="00940DAE" w:rsidRDefault="004963B3" w:rsidP="00021592">
      <w:pPr>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Change in the general character or nature of business brought about by arrangements for strategic, technical, manufacturing, or marketing tie-up, adoption of new lines of business or closure of operations of any unit/division (</w:t>
      </w:r>
      <w:r w:rsidR="00D9006B">
        <w:rPr>
          <w:rFonts w:ascii="Bookman Old Style" w:hAnsi="Bookman Old Style"/>
          <w:sz w:val="24"/>
          <w:szCs w:val="24"/>
        </w:rPr>
        <w:t xml:space="preserve">in </w:t>
      </w:r>
      <w:r w:rsidRPr="00940DAE">
        <w:rPr>
          <w:rFonts w:ascii="Bookman Old Style" w:hAnsi="Bookman Old Style"/>
          <w:sz w:val="24"/>
          <w:szCs w:val="24"/>
        </w:rPr>
        <w:t>entirety or piecemeal) of the Company.</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D9006B" w:rsidRDefault="00D9006B"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Significant </w:t>
      </w:r>
      <w:r w:rsidR="004963B3" w:rsidRPr="00940DAE">
        <w:rPr>
          <w:rFonts w:ascii="Bookman Old Style" w:hAnsi="Bookman Old Style"/>
          <w:sz w:val="24"/>
          <w:szCs w:val="24"/>
        </w:rPr>
        <w:t xml:space="preserve">Capacity addition </w:t>
      </w:r>
      <w:r>
        <w:rPr>
          <w:rFonts w:ascii="Bookman Old Style" w:hAnsi="Bookman Old Style"/>
          <w:sz w:val="24"/>
          <w:szCs w:val="24"/>
        </w:rPr>
        <w:t xml:space="preserve">/ reduction </w:t>
      </w:r>
    </w:p>
    <w:p w:rsidR="00000000" w:rsidRDefault="00893562">
      <w:pPr>
        <w:pStyle w:val="ListParagraph"/>
        <w:rPr>
          <w:rFonts w:ascii="Bookman Old Style" w:hAnsi="Bookman Old Style"/>
          <w:sz w:val="24"/>
          <w:szCs w:val="24"/>
        </w:rPr>
      </w:pPr>
    </w:p>
    <w:p w:rsidR="004963B3" w:rsidRPr="00940DAE" w:rsidRDefault="00D9006B"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Launching of a new </w:t>
      </w:r>
      <w:r w:rsidR="004963B3" w:rsidRPr="00940DAE">
        <w:rPr>
          <w:rFonts w:ascii="Bookman Old Style" w:hAnsi="Bookman Old Style"/>
          <w:sz w:val="24"/>
          <w:szCs w:val="24"/>
        </w:rPr>
        <w:t>product</w:t>
      </w:r>
      <w:r>
        <w:rPr>
          <w:rFonts w:ascii="Bookman Old Style" w:hAnsi="Bookman Old Style"/>
          <w:sz w:val="24"/>
          <w:szCs w:val="24"/>
        </w:rPr>
        <w:t xml:space="preserve"> / service</w:t>
      </w:r>
      <w:r w:rsidR="004963B3" w:rsidRPr="00940DAE">
        <w:rPr>
          <w:rFonts w:ascii="Bookman Old Style" w:hAnsi="Bookman Old Style"/>
          <w:sz w:val="24"/>
          <w:szCs w:val="24"/>
        </w:rPr>
        <w:t xml:space="preserve"> launch.</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Awarding, bagging/ receiving, amendment or termination of awarded/bagged orders/contracts not in the normal course of business.</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 xml:space="preserve">Agreements (viz. loan agreement(s) or any other agreement(s) which are binding and not in </w:t>
      </w:r>
      <w:r w:rsidR="00D9006B">
        <w:rPr>
          <w:rFonts w:ascii="Bookman Old Style" w:hAnsi="Bookman Old Style"/>
          <w:sz w:val="24"/>
          <w:szCs w:val="24"/>
        </w:rPr>
        <w:t xml:space="preserve">the </w:t>
      </w:r>
      <w:r w:rsidRPr="00940DAE">
        <w:rPr>
          <w:rFonts w:ascii="Bookman Old Style" w:hAnsi="Bookman Old Style"/>
          <w:sz w:val="24"/>
          <w:szCs w:val="24"/>
        </w:rPr>
        <w:t xml:space="preserve">normal course of business) and </w:t>
      </w:r>
      <w:r w:rsidR="00D9006B">
        <w:rPr>
          <w:rFonts w:ascii="Bookman Old Style" w:hAnsi="Bookman Old Style"/>
          <w:sz w:val="24"/>
          <w:szCs w:val="24"/>
        </w:rPr>
        <w:t xml:space="preserve">material </w:t>
      </w:r>
      <w:r w:rsidRPr="00940DAE">
        <w:rPr>
          <w:rFonts w:ascii="Bookman Old Style" w:hAnsi="Bookman Old Style"/>
          <w:sz w:val="24"/>
          <w:szCs w:val="24"/>
        </w:rPr>
        <w:t>revision(s) or amendment(s) or termination(s) thereof.</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Disruption of operations of any one or more units or division of the Company due to natural calamity (earthquake, flood, fire etc.), force majeure or events such as strikes, lockouts etc.</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A17758"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 xml:space="preserve">Effect(s) arising out of change in the regulatory framework applicable to the </w:t>
      </w:r>
      <w:r w:rsidR="00A17758" w:rsidRPr="00940DAE">
        <w:rPr>
          <w:rFonts w:ascii="Bookman Old Style" w:hAnsi="Bookman Old Style"/>
          <w:sz w:val="24"/>
          <w:szCs w:val="24"/>
        </w:rPr>
        <w:t>Company</w:t>
      </w:r>
    </w:p>
    <w:p w:rsidR="00A17758" w:rsidRPr="00940DAE" w:rsidRDefault="00A17758"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 xml:space="preserve">Litigation(s) / dispute(s) / </w:t>
      </w:r>
      <w:r w:rsidR="00A17758" w:rsidRPr="00940DAE">
        <w:rPr>
          <w:rFonts w:ascii="Bookman Old Style" w:hAnsi="Bookman Old Style"/>
          <w:sz w:val="24"/>
          <w:szCs w:val="24"/>
        </w:rPr>
        <w:t>regulatory action(s)</w:t>
      </w:r>
      <w:r w:rsidRPr="00940DAE">
        <w:rPr>
          <w:rFonts w:ascii="Bookman Old Style" w:hAnsi="Bookman Old Style"/>
          <w:sz w:val="24"/>
          <w:szCs w:val="24"/>
        </w:rPr>
        <w:t>.</w:t>
      </w:r>
    </w:p>
    <w:p w:rsidR="00A17758" w:rsidRPr="00940DAE" w:rsidRDefault="00A17758"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 xml:space="preserve">Fraud/defaults etc. by directors </w:t>
      </w:r>
      <w:r w:rsidR="00D9006B">
        <w:rPr>
          <w:rFonts w:ascii="Bookman Old Style" w:hAnsi="Bookman Old Style"/>
          <w:sz w:val="24"/>
          <w:szCs w:val="24"/>
        </w:rPr>
        <w:t xml:space="preserve">/ </w:t>
      </w:r>
      <w:r w:rsidRPr="00940DAE">
        <w:rPr>
          <w:rFonts w:ascii="Bookman Old Style" w:hAnsi="Bookman Old Style"/>
          <w:sz w:val="24"/>
          <w:szCs w:val="24"/>
        </w:rPr>
        <w:t xml:space="preserve">key managerial personnel </w:t>
      </w:r>
      <w:proofErr w:type="gramStart"/>
      <w:r w:rsidR="00D9006B">
        <w:rPr>
          <w:rFonts w:ascii="Bookman Old Style" w:hAnsi="Bookman Old Style"/>
          <w:sz w:val="24"/>
          <w:szCs w:val="24"/>
        </w:rPr>
        <w:t xml:space="preserve">of a material </w:t>
      </w:r>
      <w:proofErr w:type="spellStart"/>
      <w:r w:rsidR="00D9006B">
        <w:rPr>
          <w:rFonts w:ascii="Bookman Old Style" w:hAnsi="Bookman Old Style"/>
          <w:sz w:val="24"/>
          <w:szCs w:val="24"/>
        </w:rPr>
        <w:t>nature</w:t>
      </w:r>
      <w:r w:rsidRPr="00940DAE">
        <w:rPr>
          <w:rFonts w:ascii="Bookman Old Style" w:hAnsi="Bookman Old Style"/>
          <w:sz w:val="24"/>
          <w:szCs w:val="24"/>
        </w:rPr>
        <w:t>or</w:t>
      </w:r>
      <w:proofErr w:type="spellEnd"/>
      <w:r w:rsidRPr="00940DAE">
        <w:rPr>
          <w:rFonts w:ascii="Bookman Old Style" w:hAnsi="Bookman Old Style"/>
          <w:sz w:val="24"/>
          <w:szCs w:val="24"/>
        </w:rPr>
        <w:t xml:space="preserve"> employees</w:t>
      </w:r>
      <w:proofErr w:type="gramEnd"/>
      <w:r w:rsidRPr="00940DAE">
        <w:rPr>
          <w:rFonts w:ascii="Bookman Old Style" w:hAnsi="Bookman Old Style"/>
          <w:sz w:val="24"/>
          <w:szCs w:val="24"/>
        </w:rPr>
        <w:t xml:space="preserve"> of </w:t>
      </w:r>
      <w:r w:rsidR="00A17758" w:rsidRPr="00940DAE">
        <w:rPr>
          <w:rFonts w:ascii="Bookman Old Style" w:hAnsi="Bookman Old Style"/>
          <w:sz w:val="24"/>
          <w:szCs w:val="24"/>
        </w:rPr>
        <w:t>the Company</w:t>
      </w:r>
      <w:r w:rsidRPr="00940DAE">
        <w:rPr>
          <w:rFonts w:ascii="Bookman Old Style" w:hAnsi="Bookman Old Style"/>
          <w:sz w:val="24"/>
          <w:szCs w:val="24"/>
        </w:rPr>
        <w:t>.</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Options to purchase securities including any ESOP/ESPS Scheme.</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4963B3"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lastRenderedPageBreak/>
        <w:t>Giving of guarantees or indemnity or becoming a surety for any third party.</w:t>
      </w:r>
    </w:p>
    <w:p w:rsidR="004963B3" w:rsidRPr="00940DAE" w:rsidRDefault="004963B3" w:rsidP="00021592">
      <w:pPr>
        <w:pStyle w:val="ListParagraph"/>
        <w:autoSpaceDE w:val="0"/>
        <w:autoSpaceDN w:val="0"/>
        <w:adjustRightInd w:val="0"/>
        <w:spacing w:after="0" w:line="240" w:lineRule="auto"/>
        <w:jc w:val="both"/>
        <w:rPr>
          <w:rFonts w:ascii="Bookman Old Style" w:hAnsi="Bookman Old Style"/>
          <w:sz w:val="24"/>
          <w:szCs w:val="24"/>
        </w:rPr>
      </w:pPr>
    </w:p>
    <w:p w:rsidR="00A17758" w:rsidRPr="00940DAE" w:rsidRDefault="004963B3" w:rsidP="00021592">
      <w:pPr>
        <w:pStyle w:val="ListParagraph"/>
        <w:numPr>
          <w:ilvl w:val="0"/>
          <w:numId w:val="1"/>
        </w:numPr>
        <w:autoSpaceDE w:val="0"/>
        <w:autoSpaceDN w:val="0"/>
        <w:adjustRightInd w:val="0"/>
        <w:spacing w:after="0" w:line="240" w:lineRule="auto"/>
        <w:jc w:val="both"/>
        <w:rPr>
          <w:rFonts w:ascii="Bookman Old Style" w:hAnsi="Bookman Old Style"/>
          <w:sz w:val="24"/>
          <w:szCs w:val="24"/>
        </w:rPr>
      </w:pPr>
      <w:r w:rsidRPr="00940DAE">
        <w:rPr>
          <w:rFonts w:ascii="Bookman Old Style" w:hAnsi="Bookman Old Style"/>
          <w:sz w:val="24"/>
          <w:szCs w:val="24"/>
        </w:rPr>
        <w:t xml:space="preserve">Granting, withdrawal, </w:t>
      </w:r>
      <w:proofErr w:type="gramStart"/>
      <w:r w:rsidRPr="00940DAE">
        <w:rPr>
          <w:rFonts w:ascii="Bookman Old Style" w:hAnsi="Bookman Old Style"/>
          <w:sz w:val="24"/>
          <w:szCs w:val="24"/>
        </w:rPr>
        <w:t>surrender ,</w:t>
      </w:r>
      <w:proofErr w:type="gramEnd"/>
      <w:r w:rsidRPr="00940DAE">
        <w:rPr>
          <w:rFonts w:ascii="Bookman Old Style" w:hAnsi="Bookman Old Style"/>
          <w:sz w:val="24"/>
          <w:szCs w:val="24"/>
        </w:rPr>
        <w:t xml:space="preserve"> cancellation or suspension of key licenses or regulatory approvals.</w:t>
      </w:r>
    </w:p>
    <w:p w:rsidR="00A17758" w:rsidRPr="00940DAE" w:rsidRDefault="00A17758" w:rsidP="00021592">
      <w:pPr>
        <w:pStyle w:val="ListParagraph"/>
        <w:autoSpaceDE w:val="0"/>
        <w:autoSpaceDN w:val="0"/>
        <w:adjustRightInd w:val="0"/>
        <w:spacing w:after="0" w:line="240" w:lineRule="auto"/>
        <w:jc w:val="both"/>
        <w:rPr>
          <w:rFonts w:ascii="Bookman Old Style" w:hAnsi="Bookman Old Style"/>
          <w:sz w:val="24"/>
          <w:szCs w:val="24"/>
        </w:rPr>
      </w:pPr>
    </w:p>
    <w:p w:rsidR="00A17758" w:rsidRPr="00940DAE" w:rsidRDefault="00A17758" w:rsidP="00021592">
      <w:pPr>
        <w:autoSpaceDE w:val="0"/>
        <w:autoSpaceDN w:val="0"/>
        <w:adjustRightInd w:val="0"/>
        <w:spacing w:after="0" w:line="240" w:lineRule="auto"/>
        <w:jc w:val="both"/>
        <w:rPr>
          <w:rFonts w:ascii="Bookman Old Style" w:hAnsi="Bookman Old Style"/>
          <w:sz w:val="24"/>
          <w:szCs w:val="24"/>
        </w:rPr>
      </w:pPr>
    </w:p>
    <w:p w:rsidR="0025243C" w:rsidRPr="00940DAE" w:rsidRDefault="0025243C" w:rsidP="00021592">
      <w:pPr>
        <w:jc w:val="both"/>
        <w:rPr>
          <w:rFonts w:ascii="Bookman Old Style" w:hAnsi="Bookman Old Style"/>
          <w:b/>
          <w:sz w:val="24"/>
          <w:szCs w:val="24"/>
        </w:rPr>
      </w:pPr>
      <w:r w:rsidRPr="00940DAE">
        <w:rPr>
          <w:rFonts w:ascii="Bookman Old Style" w:hAnsi="Bookman Old Style"/>
          <w:b/>
          <w:sz w:val="24"/>
          <w:szCs w:val="24"/>
        </w:rPr>
        <w:t xml:space="preserve">5. </w:t>
      </w:r>
      <w:r w:rsidR="00B91223" w:rsidRPr="00940DAE">
        <w:rPr>
          <w:rFonts w:ascii="Bookman Old Style" w:hAnsi="Bookman Old Style"/>
          <w:b/>
          <w:sz w:val="24"/>
          <w:szCs w:val="24"/>
        </w:rPr>
        <w:t>PRESIDING OFFICER AND DETERMINATION OF MATERIALITY OF EVENT / INFORMATION</w:t>
      </w:r>
    </w:p>
    <w:p w:rsidR="005B6465" w:rsidRPr="00940DAE" w:rsidRDefault="0025243C" w:rsidP="00021592">
      <w:pPr>
        <w:jc w:val="both"/>
        <w:rPr>
          <w:rFonts w:ascii="Bookman Old Style" w:hAnsi="Bookman Old Style"/>
          <w:sz w:val="24"/>
          <w:szCs w:val="24"/>
        </w:rPr>
      </w:pPr>
      <w:r w:rsidRPr="00940DAE">
        <w:rPr>
          <w:rFonts w:ascii="Bookman Old Style" w:hAnsi="Bookman Old Style"/>
          <w:sz w:val="24"/>
          <w:szCs w:val="24"/>
        </w:rPr>
        <w:t xml:space="preserve">5.1 </w:t>
      </w:r>
      <w:r w:rsidR="00937DB3">
        <w:rPr>
          <w:rFonts w:ascii="Bookman Old Style" w:hAnsi="Bookman Old Style"/>
          <w:sz w:val="24"/>
          <w:szCs w:val="24"/>
        </w:rPr>
        <w:t xml:space="preserve">The Chief Financial Officer and the </w:t>
      </w:r>
      <w:r w:rsidRPr="00940DAE">
        <w:rPr>
          <w:rFonts w:ascii="Bookman Old Style" w:hAnsi="Bookman Old Style"/>
          <w:sz w:val="24"/>
          <w:szCs w:val="24"/>
        </w:rPr>
        <w:t>Company Secretary and Compliance Officer</w:t>
      </w:r>
      <w:r w:rsidR="00FF4AAE" w:rsidRPr="00940DAE">
        <w:rPr>
          <w:rFonts w:ascii="Bookman Old Style" w:hAnsi="Bookman Old Style"/>
          <w:sz w:val="24"/>
          <w:szCs w:val="24"/>
        </w:rPr>
        <w:t xml:space="preserve"> or any other Key Managerial Personnel authorized by the Board</w:t>
      </w:r>
      <w:r w:rsidRPr="00940DAE">
        <w:rPr>
          <w:rFonts w:ascii="Bookman Old Style" w:hAnsi="Bookman Old Style"/>
          <w:sz w:val="24"/>
          <w:szCs w:val="24"/>
        </w:rPr>
        <w:t xml:space="preserve"> of the Company shall be the presiding officer</w:t>
      </w:r>
      <w:r w:rsidR="00937DB3">
        <w:rPr>
          <w:rFonts w:ascii="Bookman Old Style" w:hAnsi="Bookman Old Style"/>
          <w:sz w:val="24"/>
          <w:szCs w:val="24"/>
        </w:rPr>
        <w:t>s</w:t>
      </w:r>
      <w:r w:rsidRPr="00940DAE">
        <w:rPr>
          <w:rFonts w:ascii="Bookman Old Style" w:hAnsi="Bookman Old Style"/>
          <w:sz w:val="24"/>
          <w:szCs w:val="24"/>
        </w:rPr>
        <w:t xml:space="preserve"> </w:t>
      </w:r>
      <w:r w:rsidR="005B6465" w:rsidRPr="00940DAE">
        <w:rPr>
          <w:rFonts w:ascii="Bookman Old Style" w:hAnsi="Bookman Old Style"/>
          <w:sz w:val="24"/>
          <w:szCs w:val="24"/>
        </w:rPr>
        <w:t xml:space="preserve">for the purpose of this policy and shall be </w:t>
      </w:r>
      <w:r w:rsidR="00937DB3">
        <w:rPr>
          <w:rFonts w:ascii="Bookman Old Style" w:hAnsi="Bookman Old Style"/>
          <w:sz w:val="24"/>
          <w:szCs w:val="24"/>
        </w:rPr>
        <w:t>under an obligation</w:t>
      </w:r>
      <w:r w:rsidR="00937DB3" w:rsidRPr="00940DAE">
        <w:rPr>
          <w:rFonts w:ascii="Bookman Old Style" w:hAnsi="Bookman Old Style"/>
          <w:sz w:val="24"/>
          <w:szCs w:val="24"/>
        </w:rPr>
        <w:t xml:space="preserve"> </w:t>
      </w:r>
      <w:r w:rsidR="005B6465" w:rsidRPr="00940DAE">
        <w:rPr>
          <w:rFonts w:ascii="Bookman Old Style" w:hAnsi="Bookman Old Style"/>
          <w:sz w:val="24"/>
          <w:szCs w:val="24"/>
        </w:rPr>
        <w:t xml:space="preserve">to perform the following duties: </w:t>
      </w:r>
    </w:p>
    <w:p w:rsidR="005B6465" w:rsidRPr="00940DAE" w:rsidRDefault="005B6465" w:rsidP="00021592">
      <w:pPr>
        <w:pStyle w:val="ListParagraph"/>
        <w:numPr>
          <w:ilvl w:val="0"/>
          <w:numId w:val="3"/>
        </w:numPr>
        <w:jc w:val="both"/>
        <w:rPr>
          <w:rFonts w:ascii="Bookman Old Style" w:hAnsi="Bookman Old Style"/>
          <w:sz w:val="24"/>
          <w:szCs w:val="24"/>
        </w:rPr>
      </w:pPr>
      <w:r w:rsidRPr="00940DAE">
        <w:rPr>
          <w:rFonts w:ascii="Bookman Old Style" w:hAnsi="Bookman Old Style"/>
          <w:sz w:val="24"/>
          <w:szCs w:val="24"/>
        </w:rPr>
        <w:t xml:space="preserve">He shall act in accordance with the procedure </w:t>
      </w:r>
      <w:r w:rsidR="00937DB3" w:rsidRPr="00940DAE">
        <w:rPr>
          <w:rFonts w:ascii="Bookman Old Style" w:hAnsi="Bookman Old Style"/>
          <w:sz w:val="24"/>
          <w:szCs w:val="24"/>
        </w:rPr>
        <w:t>la</w:t>
      </w:r>
      <w:r w:rsidR="00937DB3">
        <w:rPr>
          <w:rFonts w:ascii="Bookman Old Style" w:hAnsi="Bookman Old Style"/>
          <w:sz w:val="24"/>
          <w:szCs w:val="24"/>
        </w:rPr>
        <w:t xml:space="preserve">id </w:t>
      </w:r>
      <w:r w:rsidR="00937DB3" w:rsidRPr="00940DAE">
        <w:rPr>
          <w:rFonts w:ascii="Bookman Old Style" w:hAnsi="Bookman Old Style"/>
          <w:sz w:val="24"/>
          <w:szCs w:val="24"/>
        </w:rPr>
        <w:t xml:space="preserve">down </w:t>
      </w:r>
      <w:r w:rsidRPr="00940DAE">
        <w:rPr>
          <w:rFonts w:ascii="Bookman Old Style" w:hAnsi="Bookman Old Style"/>
          <w:sz w:val="24"/>
          <w:szCs w:val="24"/>
        </w:rPr>
        <w:t>in this Policy and in compliance with the Regulations prescribed by SEBI in this behalf</w:t>
      </w:r>
    </w:p>
    <w:p w:rsidR="00FF4AAE" w:rsidRPr="00940DAE" w:rsidRDefault="00FF4AAE" w:rsidP="00021592">
      <w:pPr>
        <w:pStyle w:val="ListParagraph"/>
        <w:ind w:left="910"/>
        <w:jc w:val="both"/>
        <w:rPr>
          <w:rFonts w:ascii="Bookman Old Style" w:hAnsi="Bookman Old Style"/>
          <w:sz w:val="24"/>
          <w:szCs w:val="24"/>
        </w:rPr>
      </w:pPr>
    </w:p>
    <w:p w:rsidR="0025243C" w:rsidRPr="00940DAE" w:rsidRDefault="005B6465" w:rsidP="00021592">
      <w:pPr>
        <w:pStyle w:val="ListParagraph"/>
        <w:numPr>
          <w:ilvl w:val="0"/>
          <w:numId w:val="3"/>
        </w:numPr>
        <w:jc w:val="both"/>
        <w:rPr>
          <w:rFonts w:ascii="Bookman Old Style" w:hAnsi="Bookman Old Style"/>
          <w:sz w:val="24"/>
          <w:szCs w:val="24"/>
        </w:rPr>
      </w:pPr>
      <w:r w:rsidRPr="00940DAE">
        <w:rPr>
          <w:rFonts w:ascii="Bookman Old Style" w:hAnsi="Bookman Old Style"/>
          <w:sz w:val="24"/>
          <w:szCs w:val="24"/>
        </w:rPr>
        <w:t>He shall determine the materiality of event / informa</w:t>
      </w:r>
      <w:r w:rsidR="00FF4AAE" w:rsidRPr="00940DAE">
        <w:rPr>
          <w:rFonts w:ascii="Bookman Old Style" w:hAnsi="Bookman Old Style"/>
          <w:sz w:val="24"/>
          <w:szCs w:val="24"/>
        </w:rPr>
        <w:t>tion subject to conditions specified in clause 3 of the Policy.</w:t>
      </w:r>
    </w:p>
    <w:p w:rsidR="00FF4AAE" w:rsidRPr="00940DAE" w:rsidRDefault="00FF4AAE" w:rsidP="00021592">
      <w:pPr>
        <w:pStyle w:val="ListParagraph"/>
        <w:ind w:left="910"/>
        <w:jc w:val="both"/>
        <w:rPr>
          <w:rFonts w:ascii="Bookman Old Style" w:hAnsi="Bookman Old Style"/>
          <w:sz w:val="24"/>
          <w:szCs w:val="24"/>
        </w:rPr>
      </w:pPr>
    </w:p>
    <w:p w:rsidR="00FF4AAE" w:rsidRPr="00940DAE" w:rsidRDefault="003343C6" w:rsidP="00021592">
      <w:pPr>
        <w:pStyle w:val="ListParagraph"/>
        <w:numPr>
          <w:ilvl w:val="0"/>
          <w:numId w:val="3"/>
        </w:numPr>
        <w:jc w:val="both"/>
        <w:rPr>
          <w:rFonts w:ascii="Bookman Old Style" w:hAnsi="Bookman Old Style"/>
          <w:sz w:val="24"/>
          <w:szCs w:val="24"/>
        </w:rPr>
      </w:pPr>
      <w:r w:rsidRPr="00940DAE">
        <w:rPr>
          <w:rFonts w:ascii="Bookman Old Style" w:hAnsi="Bookman Old Style"/>
          <w:sz w:val="24"/>
          <w:szCs w:val="24"/>
        </w:rPr>
        <w:t>He shall intimate</w:t>
      </w:r>
      <w:r w:rsidR="00937DB3">
        <w:rPr>
          <w:rFonts w:ascii="Bookman Old Style" w:hAnsi="Bookman Old Style"/>
          <w:sz w:val="24"/>
          <w:szCs w:val="24"/>
        </w:rPr>
        <w:t xml:space="preserve"> / caused to be intimated</w:t>
      </w:r>
      <w:r w:rsidRPr="00940DAE">
        <w:rPr>
          <w:rFonts w:ascii="Bookman Old Style" w:hAnsi="Bookman Old Style"/>
          <w:sz w:val="24"/>
          <w:szCs w:val="24"/>
        </w:rPr>
        <w:t xml:space="preserve"> to </w:t>
      </w:r>
      <w:r w:rsidR="00937DB3">
        <w:rPr>
          <w:rFonts w:ascii="Bookman Old Style" w:hAnsi="Bookman Old Style"/>
          <w:sz w:val="24"/>
          <w:szCs w:val="24"/>
        </w:rPr>
        <w:t xml:space="preserve">the </w:t>
      </w:r>
      <w:r w:rsidRPr="00940DAE">
        <w:rPr>
          <w:rFonts w:ascii="Bookman Old Style" w:hAnsi="Bookman Old Style"/>
          <w:sz w:val="24"/>
          <w:szCs w:val="24"/>
        </w:rPr>
        <w:t xml:space="preserve">Stock Exchanges </w:t>
      </w:r>
      <w:r w:rsidR="00937DB3">
        <w:rPr>
          <w:rFonts w:ascii="Bookman Old Style" w:hAnsi="Bookman Old Style"/>
          <w:sz w:val="24"/>
          <w:szCs w:val="24"/>
        </w:rPr>
        <w:t>e</w:t>
      </w:r>
      <w:r w:rsidR="00937DB3" w:rsidRPr="00940DAE">
        <w:rPr>
          <w:rFonts w:ascii="Bookman Old Style" w:hAnsi="Bookman Old Style"/>
          <w:sz w:val="24"/>
          <w:szCs w:val="24"/>
        </w:rPr>
        <w:t xml:space="preserve">very </w:t>
      </w:r>
      <w:r w:rsidR="00937DB3">
        <w:rPr>
          <w:rFonts w:ascii="Bookman Old Style" w:hAnsi="Bookman Old Style"/>
          <w:sz w:val="24"/>
          <w:szCs w:val="24"/>
        </w:rPr>
        <w:t xml:space="preserve">such </w:t>
      </w:r>
      <w:r w:rsidR="00FF4AAE" w:rsidRPr="00940DAE">
        <w:rPr>
          <w:rFonts w:ascii="Bookman Old Style" w:hAnsi="Bookman Old Style"/>
          <w:sz w:val="24"/>
          <w:szCs w:val="24"/>
        </w:rPr>
        <w:t xml:space="preserve">event / information as determined in accordance with clause </w:t>
      </w:r>
      <w:r w:rsidR="00FF4AAE" w:rsidRPr="00940DAE">
        <w:rPr>
          <w:rFonts w:ascii="Bookman Old Style" w:hAnsi="Bookman Old Style"/>
          <w:i/>
          <w:sz w:val="24"/>
          <w:szCs w:val="24"/>
        </w:rPr>
        <w:t>b</w:t>
      </w:r>
      <w:r w:rsidR="00FF4AAE" w:rsidRPr="00940DAE">
        <w:rPr>
          <w:rFonts w:ascii="Bookman Old Style" w:hAnsi="Bookman Old Style"/>
          <w:sz w:val="24"/>
          <w:szCs w:val="24"/>
        </w:rPr>
        <w:t xml:space="preserve"> above within the such time as prescribed in the policy</w:t>
      </w:r>
    </w:p>
    <w:p w:rsidR="00FF4AAE" w:rsidRPr="00940DAE" w:rsidRDefault="00FF4AAE" w:rsidP="00021592">
      <w:pPr>
        <w:pStyle w:val="ListParagraph"/>
        <w:ind w:left="910"/>
        <w:jc w:val="both"/>
        <w:rPr>
          <w:rFonts w:ascii="Bookman Old Style" w:hAnsi="Bookman Old Style"/>
          <w:sz w:val="24"/>
          <w:szCs w:val="24"/>
        </w:rPr>
      </w:pPr>
    </w:p>
    <w:p w:rsidR="00FF4AAE" w:rsidRPr="00940DAE" w:rsidRDefault="00FF4AAE" w:rsidP="00021592">
      <w:pPr>
        <w:pStyle w:val="ListParagraph"/>
        <w:numPr>
          <w:ilvl w:val="0"/>
          <w:numId w:val="3"/>
        </w:numPr>
        <w:jc w:val="both"/>
        <w:rPr>
          <w:rFonts w:ascii="Bookman Old Style" w:hAnsi="Bookman Old Style"/>
          <w:sz w:val="24"/>
          <w:szCs w:val="24"/>
        </w:rPr>
      </w:pPr>
      <w:r w:rsidRPr="00940DAE">
        <w:rPr>
          <w:rFonts w:ascii="Bookman Old Style" w:hAnsi="Bookman Old Style"/>
          <w:sz w:val="24"/>
          <w:szCs w:val="24"/>
        </w:rPr>
        <w:t>He shall exercise his duties with due and reasonable care, skill and diligence.</w:t>
      </w:r>
    </w:p>
    <w:p w:rsidR="0025243C" w:rsidRPr="00940DAE" w:rsidRDefault="00B91223" w:rsidP="00021592">
      <w:pPr>
        <w:jc w:val="both"/>
        <w:rPr>
          <w:rFonts w:ascii="Bookman Old Style" w:hAnsi="Bookman Old Style"/>
          <w:b/>
          <w:sz w:val="24"/>
          <w:szCs w:val="24"/>
        </w:rPr>
      </w:pPr>
      <w:r w:rsidRPr="00940DAE">
        <w:rPr>
          <w:rFonts w:ascii="Bookman Old Style" w:hAnsi="Bookman Old Style"/>
          <w:b/>
          <w:sz w:val="24"/>
          <w:szCs w:val="24"/>
        </w:rPr>
        <w:t>6. DISCLOSURE OF MATERIAL EVENTS / INFORMATION</w:t>
      </w:r>
    </w:p>
    <w:p w:rsidR="00021592" w:rsidRPr="00940DAE" w:rsidRDefault="00021592" w:rsidP="00021592">
      <w:pPr>
        <w:jc w:val="both"/>
        <w:rPr>
          <w:rFonts w:ascii="Bookman Old Style" w:hAnsi="Bookman Old Style"/>
          <w:sz w:val="24"/>
          <w:szCs w:val="24"/>
        </w:rPr>
      </w:pPr>
      <w:r w:rsidRPr="00940DAE">
        <w:rPr>
          <w:rFonts w:ascii="Bookman Old Style" w:hAnsi="Bookman Old Style"/>
          <w:sz w:val="24"/>
          <w:szCs w:val="24"/>
        </w:rPr>
        <w:t xml:space="preserve">6.1 </w:t>
      </w:r>
      <w:r w:rsidR="00937DB3" w:rsidRPr="00940DAE">
        <w:rPr>
          <w:rFonts w:ascii="Bookman Old Style" w:hAnsi="Bookman Old Style"/>
          <w:sz w:val="24"/>
          <w:szCs w:val="24"/>
        </w:rPr>
        <w:t>Disclos</w:t>
      </w:r>
      <w:r w:rsidR="00937DB3">
        <w:rPr>
          <w:rFonts w:ascii="Bookman Old Style" w:hAnsi="Bookman Old Style"/>
          <w:sz w:val="24"/>
          <w:szCs w:val="24"/>
        </w:rPr>
        <w:t>ure</w:t>
      </w:r>
      <w:r w:rsidR="00937DB3" w:rsidRPr="00940DAE">
        <w:rPr>
          <w:rFonts w:ascii="Bookman Old Style" w:hAnsi="Bookman Old Style"/>
          <w:sz w:val="24"/>
          <w:szCs w:val="24"/>
        </w:rPr>
        <w:t xml:space="preserve"> </w:t>
      </w:r>
      <w:r w:rsidRPr="00940DAE">
        <w:rPr>
          <w:rFonts w:ascii="Bookman Old Style" w:hAnsi="Bookman Old Style"/>
          <w:sz w:val="24"/>
          <w:szCs w:val="24"/>
        </w:rPr>
        <w:t>of events to Stock Exchanges:</w:t>
      </w:r>
    </w:p>
    <w:p w:rsidR="00021592" w:rsidRPr="00940DAE" w:rsidRDefault="00021592" w:rsidP="00021592">
      <w:pPr>
        <w:pStyle w:val="ListParagraph"/>
        <w:numPr>
          <w:ilvl w:val="0"/>
          <w:numId w:val="4"/>
        </w:numPr>
        <w:jc w:val="both"/>
        <w:rPr>
          <w:rFonts w:ascii="Bookman Old Style" w:hAnsi="Bookman Old Style"/>
          <w:sz w:val="24"/>
          <w:szCs w:val="24"/>
        </w:rPr>
      </w:pPr>
      <w:r w:rsidRPr="00940DAE">
        <w:rPr>
          <w:rFonts w:ascii="Bookman Old Style" w:hAnsi="Bookman Old Style"/>
          <w:sz w:val="24"/>
          <w:szCs w:val="24"/>
        </w:rPr>
        <w:t xml:space="preserve">Events or Information provided in clause 4 of the Policy shall be intimated to the Stock Exchanges within 24 hours from occurring of an event or </w:t>
      </w:r>
      <w:r w:rsidR="00937DB3">
        <w:rPr>
          <w:rFonts w:ascii="Bookman Old Style" w:hAnsi="Bookman Old Style"/>
          <w:sz w:val="24"/>
          <w:szCs w:val="24"/>
        </w:rPr>
        <w:t xml:space="preserve">upon </w:t>
      </w:r>
      <w:r w:rsidRPr="00940DAE">
        <w:rPr>
          <w:rFonts w:ascii="Bookman Old Style" w:hAnsi="Bookman Old Style"/>
          <w:sz w:val="24"/>
          <w:szCs w:val="24"/>
        </w:rPr>
        <w:t>getting information</w:t>
      </w:r>
      <w:r w:rsidR="00937DB3">
        <w:rPr>
          <w:rFonts w:ascii="Bookman Old Style" w:hAnsi="Bookman Old Style"/>
          <w:sz w:val="24"/>
          <w:szCs w:val="24"/>
        </w:rPr>
        <w:t xml:space="preserve"> in respect thereof.</w:t>
      </w:r>
    </w:p>
    <w:p w:rsidR="00021592" w:rsidRPr="00940DAE" w:rsidRDefault="00021592" w:rsidP="00021592">
      <w:pPr>
        <w:pStyle w:val="ListParagraph"/>
        <w:ind w:left="761"/>
        <w:jc w:val="both"/>
        <w:rPr>
          <w:rFonts w:ascii="Bookman Old Style" w:hAnsi="Bookman Old Style"/>
          <w:sz w:val="24"/>
          <w:szCs w:val="24"/>
        </w:rPr>
      </w:pPr>
    </w:p>
    <w:p w:rsidR="00021592" w:rsidRPr="00940DAE" w:rsidRDefault="00021592" w:rsidP="00021592">
      <w:pPr>
        <w:pStyle w:val="ListParagraph"/>
        <w:numPr>
          <w:ilvl w:val="0"/>
          <w:numId w:val="4"/>
        </w:numPr>
        <w:jc w:val="both"/>
        <w:rPr>
          <w:rFonts w:ascii="Bookman Old Style" w:hAnsi="Bookman Old Style"/>
          <w:sz w:val="24"/>
          <w:szCs w:val="24"/>
        </w:rPr>
      </w:pPr>
      <w:r w:rsidRPr="00940DAE">
        <w:rPr>
          <w:rFonts w:ascii="Bookman Old Style" w:hAnsi="Bookman Old Style"/>
          <w:sz w:val="24"/>
          <w:szCs w:val="24"/>
        </w:rPr>
        <w:t xml:space="preserve">Events or information as determined material in compliance with the sub clause b of clause 5 of the policy shall be intimated to the </w:t>
      </w:r>
      <w:r w:rsidR="003343C6" w:rsidRPr="00940DAE">
        <w:rPr>
          <w:rFonts w:ascii="Bookman Old Style" w:hAnsi="Bookman Old Style"/>
          <w:sz w:val="24"/>
          <w:szCs w:val="24"/>
        </w:rPr>
        <w:t>Stock Exchanges within 24 hours or such time as may be decided by the Presiding Officer bu</w:t>
      </w:r>
      <w:r w:rsidR="00940DAE" w:rsidRPr="00940DAE">
        <w:rPr>
          <w:rFonts w:ascii="Bookman Old Style" w:hAnsi="Bookman Old Style"/>
          <w:sz w:val="24"/>
          <w:szCs w:val="24"/>
        </w:rPr>
        <w:t>t</w:t>
      </w:r>
      <w:r w:rsidR="003343C6" w:rsidRPr="00940DAE">
        <w:rPr>
          <w:rFonts w:ascii="Bookman Old Style" w:hAnsi="Bookman Old Style"/>
          <w:sz w:val="24"/>
          <w:szCs w:val="24"/>
        </w:rPr>
        <w:t xml:space="preserve"> not later than 72 hours of </w:t>
      </w:r>
      <w:r w:rsidR="00940DAE" w:rsidRPr="00940DAE">
        <w:rPr>
          <w:rFonts w:ascii="Bookman Old Style" w:hAnsi="Bookman Old Style"/>
          <w:sz w:val="24"/>
          <w:szCs w:val="24"/>
        </w:rPr>
        <w:t>occurring of an event or getting information</w:t>
      </w:r>
    </w:p>
    <w:p w:rsidR="00B91223" w:rsidRPr="00940DAE" w:rsidRDefault="00B91223" w:rsidP="00B91223">
      <w:pPr>
        <w:pStyle w:val="ListParagraph"/>
        <w:ind w:left="761"/>
        <w:jc w:val="both"/>
        <w:rPr>
          <w:rFonts w:ascii="Bookman Old Style" w:hAnsi="Bookman Old Style"/>
          <w:sz w:val="24"/>
          <w:szCs w:val="24"/>
        </w:rPr>
      </w:pPr>
    </w:p>
    <w:p w:rsidR="00B91223" w:rsidRPr="00940DAE" w:rsidRDefault="00B91223" w:rsidP="00021592">
      <w:pPr>
        <w:pStyle w:val="ListParagraph"/>
        <w:numPr>
          <w:ilvl w:val="0"/>
          <w:numId w:val="4"/>
        </w:numPr>
        <w:jc w:val="both"/>
        <w:rPr>
          <w:rFonts w:ascii="Bookman Old Style" w:hAnsi="Bookman Old Style"/>
          <w:sz w:val="24"/>
          <w:szCs w:val="24"/>
        </w:rPr>
      </w:pPr>
      <w:r w:rsidRPr="00940DAE">
        <w:rPr>
          <w:rFonts w:ascii="Bookman Old Style" w:hAnsi="Bookman Old Style"/>
          <w:sz w:val="24"/>
          <w:szCs w:val="24"/>
        </w:rPr>
        <w:t xml:space="preserve">Contact details of </w:t>
      </w:r>
      <w:r w:rsidR="00937DB3">
        <w:rPr>
          <w:rFonts w:ascii="Bookman Old Style" w:hAnsi="Bookman Old Style"/>
          <w:sz w:val="24"/>
          <w:szCs w:val="24"/>
        </w:rPr>
        <w:t xml:space="preserve">the </w:t>
      </w:r>
      <w:r w:rsidRPr="00940DAE">
        <w:rPr>
          <w:rFonts w:ascii="Bookman Old Style" w:hAnsi="Bookman Old Style"/>
          <w:sz w:val="24"/>
          <w:szCs w:val="24"/>
        </w:rPr>
        <w:t>Presiding Officer</w:t>
      </w:r>
      <w:r w:rsidR="00937DB3">
        <w:rPr>
          <w:rFonts w:ascii="Bookman Old Style" w:hAnsi="Bookman Old Style"/>
          <w:sz w:val="24"/>
          <w:szCs w:val="24"/>
        </w:rPr>
        <w:t>s</w:t>
      </w:r>
      <w:r w:rsidRPr="00940DAE">
        <w:rPr>
          <w:rFonts w:ascii="Bookman Old Style" w:hAnsi="Bookman Old Style"/>
          <w:sz w:val="24"/>
          <w:szCs w:val="24"/>
        </w:rPr>
        <w:t xml:space="preserve"> shall be disclosed to the Stock Exchanges.</w:t>
      </w:r>
    </w:p>
    <w:p w:rsidR="00021592" w:rsidRPr="00940DAE" w:rsidRDefault="00021592" w:rsidP="00021592">
      <w:pPr>
        <w:jc w:val="both"/>
        <w:rPr>
          <w:rFonts w:ascii="Bookman Old Style" w:hAnsi="Bookman Old Style"/>
          <w:sz w:val="24"/>
          <w:szCs w:val="24"/>
        </w:rPr>
      </w:pPr>
      <w:r w:rsidRPr="00940DAE">
        <w:rPr>
          <w:rFonts w:ascii="Bookman Old Style" w:hAnsi="Bookman Old Style"/>
          <w:sz w:val="24"/>
          <w:szCs w:val="24"/>
        </w:rPr>
        <w:t>6.2 Disclosure on website of the Company</w:t>
      </w:r>
    </w:p>
    <w:p w:rsidR="00021592" w:rsidRPr="00940DAE" w:rsidRDefault="00021592" w:rsidP="00021592">
      <w:pPr>
        <w:pStyle w:val="ListParagraph"/>
        <w:numPr>
          <w:ilvl w:val="0"/>
          <w:numId w:val="5"/>
        </w:numPr>
        <w:jc w:val="both"/>
        <w:rPr>
          <w:rFonts w:ascii="Bookman Old Style" w:hAnsi="Bookman Old Style"/>
          <w:sz w:val="24"/>
          <w:szCs w:val="24"/>
        </w:rPr>
      </w:pPr>
      <w:r w:rsidRPr="00940DAE">
        <w:rPr>
          <w:rFonts w:ascii="Bookman Old Style" w:hAnsi="Bookman Old Style"/>
          <w:sz w:val="24"/>
          <w:szCs w:val="24"/>
        </w:rPr>
        <w:t xml:space="preserve">Any intimation to Stock Exchanges as per sub clause </w:t>
      </w:r>
      <w:r w:rsidR="00B91223" w:rsidRPr="00940DAE">
        <w:rPr>
          <w:rFonts w:ascii="Bookman Old Style" w:hAnsi="Bookman Old Style"/>
          <w:sz w:val="24"/>
          <w:szCs w:val="24"/>
        </w:rPr>
        <w:t xml:space="preserve">1 of clause 6 of the Policy shall simultaneously be hosted on the functional website of the Company </w:t>
      </w:r>
    </w:p>
    <w:p w:rsidR="00B91223" w:rsidRPr="00940DAE" w:rsidRDefault="00B91223" w:rsidP="00B91223">
      <w:pPr>
        <w:pStyle w:val="ListParagraph"/>
        <w:jc w:val="both"/>
        <w:rPr>
          <w:rFonts w:ascii="Bookman Old Style" w:hAnsi="Bookman Old Style"/>
          <w:sz w:val="24"/>
          <w:szCs w:val="24"/>
        </w:rPr>
      </w:pPr>
    </w:p>
    <w:p w:rsidR="00B91223" w:rsidRPr="00940DAE" w:rsidRDefault="00B91223" w:rsidP="00B91223">
      <w:pPr>
        <w:pStyle w:val="ListParagraph"/>
        <w:numPr>
          <w:ilvl w:val="0"/>
          <w:numId w:val="5"/>
        </w:numPr>
        <w:jc w:val="both"/>
        <w:rPr>
          <w:rFonts w:ascii="Bookman Old Style" w:hAnsi="Bookman Old Style"/>
          <w:sz w:val="24"/>
          <w:szCs w:val="24"/>
        </w:rPr>
      </w:pPr>
      <w:r w:rsidRPr="00940DAE">
        <w:rPr>
          <w:rFonts w:ascii="Bookman Old Style" w:hAnsi="Bookman Old Style"/>
          <w:sz w:val="24"/>
          <w:szCs w:val="24"/>
        </w:rPr>
        <w:t>Contact details including Email ID and Direct Contact Number of the Presiding officer</w:t>
      </w:r>
      <w:r w:rsidR="00937DB3">
        <w:rPr>
          <w:rFonts w:ascii="Bookman Old Style" w:hAnsi="Bookman Old Style"/>
          <w:sz w:val="24"/>
          <w:szCs w:val="24"/>
        </w:rPr>
        <w:t>s</w:t>
      </w:r>
      <w:r w:rsidRPr="00940DAE">
        <w:rPr>
          <w:rFonts w:ascii="Bookman Old Style" w:hAnsi="Bookman Old Style"/>
          <w:sz w:val="24"/>
          <w:szCs w:val="24"/>
        </w:rPr>
        <w:t xml:space="preserve"> shall be hosted on the website of the Company.</w:t>
      </w:r>
    </w:p>
    <w:p w:rsidR="00B91223" w:rsidRPr="00940DAE" w:rsidRDefault="00B91223" w:rsidP="00B91223">
      <w:pPr>
        <w:jc w:val="both"/>
        <w:rPr>
          <w:rFonts w:ascii="Bookman Old Style" w:hAnsi="Bookman Old Style"/>
          <w:sz w:val="24"/>
          <w:szCs w:val="24"/>
        </w:rPr>
      </w:pPr>
      <w:r w:rsidRPr="00940DAE">
        <w:rPr>
          <w:rFonts w:ascii="Bookman Old Style" w:hAnsi="Bookman Old Style"/>
          <w:b/>
          <w:sz w:val="24"/>
          <w:szCs w:val="24"/>
        </w:rPr>
        <w:t xml:space="preserve">7 AMENDMENTS TO THE POLICY </w:t>
      </w:r>
    </w:p>
    <w:p w:rsidR="00B91223" w:rsidRPr="00940DAE" w:rsidRDefault="00B91223" w:rsidP="00B91223">
      <w:pPr>
        <w:spacing w:after="0" w:line="240" w:lineRule="auto"/>
        <w:jc w:val="both"/>
        <w:rPr>
          <w:rFonts w:ascii="Bookman Old Style" w:hAnsi="Bookman Old Style"/>
          <w:sz w:val="24"/>
          <w:szCs w:val="24"/>
        </w:rPr>
      </w:pPr>
      <w:r w:rsidRPr="00940DAE">
        <w:rPr>
          <w:rFonts w:ascii="Bookman Old Style" w:hAnsi="Bookman Old Style"/>
          <w:sz w:val="24"/>
          <w:szCs w:val="24"/>
        </w:rPr>
        <w:t>The Board of Directors can amend this Policy, as and when deemed fit. In case of any amendment(s), clarification(s), circular(s) etc. issued by the relevant authorities, not being consistent with the provisions laid down under this Policy, then such amendment(s), clarification(s), circular(s) etc. shall prevail upon the provisions hereunder and this Policy shall stand amended accordingly from the effective date as laid down under such amendment(s), clarification(s), circular(s) etc.</w:t>
      </w:r>
    </w:p>
    <w:p w:rsidR="00B91223" w:rsidRPr="00940DAE" w:rsidRDefault="00B91223" w:rsidP="00B91223">
      <w:pPr>
        <w:jc w:val="both"/>
        <w:rPr>
          <w:rFonts w:ascii="Bookman Old Style" w:hAnsi="Bookman Old Style"/>
          <w:b/>
          <w:sz w:val="24"/>
          <w:szCs w:val="24"/>
        </w:rPr>
      </w:pPr>
    </w:p>
    <w:p w:rsidR="00021592" w:rsidRPr="00940DAE" w:rsidRDefault="00021592" w:rsidP="00021592">
      <w:pPr>
        <w:jc w:val="both"/>
        <w:rPr>
          <w:rFonts w:ascii="Bookman Old Style" w:hAnsi="Bookman Old Style"/>
          <w:b/>
          <w:sz w:val="24"/>
          <w:szCs w:val="24"/>
        </w:rPr>
      </w:pPr>
      <w:r w:rsidRPr="00940DAE">
        <w:rPr>
          <w:rFonts w:ascii="Bookman Old Style" w:hAnsi="Bookman Old Style"/>
          <w:b/>
          <w:sz w:val="24"/>
          <w:szCs w:val="24"/>
        </w:rPr>
        <w:t xml:space="preserve">  </w:t>
      </w:r>
    </w:p>
    <w:p w:rsidR="00021592" w:rsidRPr="00940DAE" w:rsidRDefault="00021592" w:rsidP="00021592">
      <w:pPr>
        <w:jc w:val="both"/>
        <w:rPr>
          <w:rFonts w:ascii="Bookman Old Style" w:hAnsi="Bookman Old Style"/>
          <w:b/>
          <w:sz w:val="24"/>
          <w:szCs w:val="24"/>
        </w:rPr>
      </w:pPr>
      <w:r w:rsidRPr="00940DAE">
        <w:rPr>
          <w:rFonts w:ascii="Bookman Old Style" w:hAnsi="Bookman Old Style"/>
          <w:b/>
          <w:sz w:val="24"/>
          <w:szCs w:val="24"/>
        </w:rPr>
        <w:t xml:space="preserve">  </w:t>
      </w:r>
    </w:p>
    <w:p w:rsidR="00A17758" w:rsidRPr="00940DAE" w:rsidRDefault="00A17758" w:rsidP="00021592">
      <w:pPr>
        <w:jc w:val="both"/>
        <w:rPr>
          <w:rFonts w:ascii="Bookman Old Style" w:hAnsi="Bookman Old Style"/>
          <w:b/>
          <w:sz w:val="24"/>
          <w:szCs w:val="24"/>
        </w:rPr>
      </w:pPr>
      <w:r w:rsidRPr="00940DAE">
        <w:rPr>
          <w:rFonts w:ascii="Bookman Old Style" w:hAnsi="Bookman Old Style"/>
          <w:b/>
          <w:sz w:val="24"/>
          <w:szCs w:val="24"/>
        </w:rPr>
        <w:t xml:space="preserve">  </w:t>
      </w:r>
    </w:p>
    <w:p w:rsidR="00A17758" w:rsidRPr="00940DAE" w:rsidRDefault="00A17758" w:rsidP="00021592">
      <w:pPr>
        <w:autoSpaceDE w:val="0"/>
        <w:autoSpaceDN w:val="0"/>
        <w:adjustRightInd w:val="0"/>
        <w:spacing w:after="0" w:line="240" w:lineRule="auto"/>
        <w:jc w:val="both"/>
        <w:rPr>
          <w:rFonts w:ascii="Bookman Old Style" w:hAnsi="Bookman Old Style"/>
          <w:sz w:val="24"/>
          <w:szCs w:val="24"/>
        </w:rPr>
      </w:pPr>
    </w:p>
    <w:p w:rsidR="00F30799" w:rsidRPr="00940DAE" w:rsidRDefault="00F30799" w:rsidP="00021592">
      <w:pPr>
        <w:spacing w:after="0" w:line="240" w:lineRule="auto"/>
        <w:ind w:left="360" w:hanging="342"/>
        <w:jc w:val="both"/>
        <w:rPr>
          <w:rFonts w:ascii="Bookman Old Style" w:hAnsi="Bookman Old Style"/>
          <w:sz w:val="24"/>
          <w:szCs w:val="24"/>
        </w:rPr>
      </w:pPr>
    </w:p>
    <w:sectPr w:rsidR="00F30799" w:rsidRPr="00940DAE" w:rsidSect="00D36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BED"/>
    <w:multiLevelType w:val="hybridMultilevel"/>
    <w:tmpl w:val="E80E1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62AF9"/>
    <w:multiLevelType w:val="hybridMultilevel"/>
    <w:tmpl w:val="8A1E22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0617AA"/>
    <w:multiLevelType w:val="hybridMultilevel"/>
    <w:tmpl w:val="05141866"/>
    <w:lvl w:ilvl="0" w:tplc="04090017">
      <w:start w:val="1"/>
      <w:numFmt w:val="lowerLetter"/>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
    <w:nsid w:val="69396A63"/>
    <w:multiLevelType w:val="hybridMultilevel"/>
    <w:tmpl w:val="36585464"/>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
    <w:nsid w:val="6B6A1E44"/>
    <w:multiLevelType w:val="hybridMultilevel"/>
    <w:tmpl w:val="BA46C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66600"/>
    <w:rsid w:val="00021592"/>
    <w:rsid w:val="000364A4"/>
    <w:rsid w:val="000519B2"/>
    <w:rsid w:val="000C43DA"/>
    <w:rsid w:val="00160F25"/>
    <w:rsid w:val="001678E1"/>
    <w:rsid w:val="001870C4"/>
    <w:rsid w:val="0025243C"/>
    <w:rsid w:val="00326025"/>
    <w:rsid w:val="003343C6"/>
    <w:rsid w:val="00372030"/>
    <w:rsid w:val="00386F5F"/>
    <w:rsid w:val="0039105F"/>
    <w:rsid w:val="00447475"/>
    <w:rsid w:val="00451FF9"/>
    <w:rsid w:val="004963B3"/>
    <w:rsid w:val="00512AF7"/>
    <w:rsid w:val="00532EAC"/>
    <w:rsid w:val="005945F9"/>
    <w:rsid w:val="005A74A6"/>
    <w:rsid w:val="005B6465"/>
    <w:rsid w:val="006125D0"/>
    <w:rsid w:val="006D08D5"/>
    <w:rsid w:val="0086679A"/>
    <w:rsid w:val="00893562"/>
    <w:rsid w:val="00937DB3"/>
    <w:rsid w:val="00940DAE"/>
    <w:rsid w:val="00982896"/>
    <w:rsid w:val="009954FC"/>
    <w:rsid w:val="00A17758"/>
    <w:rsid w:val="00A40132"/>
    <w:rsid w:val="00A66600"/>
    <w:rsid w:val="00A747CA"/>
    <w:rsid w:val="00B15030"/>
    <w:rsid w:val="00B270DB"/>
    <w:rsid w:val="00B91223"/>
    <w:rsid w:val="00BC36AC"/>
    <w:rsid w:val="00BD3915"/>
    <w:rsid w:val="00C8226A"/>
    <w:rsid w:val="00D33096"/>
    <w:rsid w:val="00D36D69"/>
    <w:rsid w:val="00D865AF"/>
    <w:rsid w:val="00D9006B"/>
    <w:rsid w:val="00D90D9A"/>
    <w:rsid w:val="00DD2287"/>
    <w:rsid w:val="00EA0274"/>
    <w:rsid w:val="00F1070D"/>
    <w:rsid w:val="00F30799"/>
    <w:rsid w:val="00F32DB1"/>
    <w:rsid w:val="00F5579F"/>
    <w:rsid w:val="00FF4A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D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2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896"/>
    <w:rPr>
      <w:rFonts w:ascii="Tahoma" w:hAnsi="Tahoma" w:cs="Tahoma"/>
      <w:sz w:val="16"/>
      <w:szCs w:val="16"/>
    </w:rPr>
  </w:style>
  <w:style w:type="paragraph" w:styleId="ListParagraph">
    <w:name w:val="List Paragraph"/>
    <w:basedOn w:val="Normal"/>
    <w:uiPriority w:val="34"/>
    <w:qFormat/>
    <w:rsid w:val="00A17758"/>
    <w:pPr>
      <w:ind w:left="720"/>
      <w:contextualSpacing/>
    </w:pPr>
  </w:style>
  <w:style w:type="character" w:styleId="CommentReference">
    <w:name w:val="annotation reference"/>
    <w:basedOn w:val="DefaultParagraphFont"/>
    <w:uiPriority w:val="99"/>
    <w:semiHidden/>
    <w:unhideWhenUsed/>
    <w:rsid w:val="00940DAE"/>
    <w:rPr>
      <w:sz w:val="16"/>
      <w:szCs w:val="16"/>
    </w:rPr>
  </w:style>
  <w:style w:type="paragraph" w:styleId="CommentText">
    <w:name w:val="annotation text"/>
    <w:basedOn w:val="Normal"/>
    <w:link w:val="CommentTextChar"/>
    <w:uiPriority w:val="99"/>
    <w:semiHidden/>
    <w:unhideWhenUsed/>
    <w:rsid w:val="00940DAE"/>
    <w:pPr>
      <w:spacing w:line="240" w:lineRule="auto"/>
    </w:pPr>
    <w:rPr>
      <w:sz w:val="20"/>
      <w:szCs w:val="20"/>
    </w:rPr>
  </w:style>
  <w:style w:type="character" w:customStyle="1" w:styleId="CommentTextChar">
    <w:name w:val="Comment Text Char"/>
    <w:basedOn w:val="DefaultParagraphFont"/>
    <w:link w:val="CommentText"/>
    <w:uiPriority w:val="99"/>
    <w:semiHidden/>
    <w:rsid w:val="00940DAE"/>
    <w:rPr>
      <w:sz w:val="20"/>
      <w:szCs w:val="20"/>
    </w:rPr>
  </w:style>
  <w:style w:type="paragraph" w:styleId="CommentSubject">
    <w:name w:val="annotation subject"/>
    <w:basedOn w:val="CommentText"/>
    <w:next w:val="CommentText"/>
    <w:link w:val="CommentSubjectChar"/>
    <w:uiPriority w:val="99"/>
    <w:semiHidden/>
    <w:unhideWhenUsed/>
    <w:rsid w:val="00940DAE"/>
    <w:rPr>
      <w:b/>
      <w:bCs/>
    </w:rPr>
  </w:style>
  <w:style w:type="character" w:customStyle="1" w:styleId="CommentSubjectChar">
    <w:name w:val="Comment Subject Char"/>
    <w:basedOn w:val="CommentTextChar"/>
    <w:link w:val="CommentSubject"/>
    <w:uiPriority w:val="99"/>
    <w:semiHidden/>
    <w:rsid w:val="00940DA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54314D9-1107-4911-B6B4-6390D348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3</cp:revision>
  <dcterms:created xsi:type="dcterms:W3CDTF">2015-09-30T11:05:00Z</dcterms:created>
  <dcterms:modified xsi:type="dcterms:W3CDTF">2015-10-21T07:03:00Z</dcterms:modified>
</cp:coreProperties>
</file>