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Inter" w:cs="Inter" w:eastAsia="Inter" w:hAnsi="Inter"/>
          <w:b/>
          <w:bCs/>
          <w:color w:val="B28A3E"/>
          <w:sz w:val="18"/>
          <w:szCs w:val="18"/>
        </w:rPr>
        <w:t xml:space="preserve">FOR IMMEDIATE RELEASE — April 16, 2026</w:t>
      </w:r>
    </w:p>
    <w:p>
      <w:pPr>
        <w:spacing w:after="120" w:before="80"/>
      </w:pPr>
      <w:r>
        <w:rPr>
          <w:rFonts w:ascii="Georgia" w:cs="Georgia" w:eastAsia="Georgia" w:hAnsi="Georgia"/>
          <w:b/>
          <w:bCs/>
          <w:i w:val="false"/>
          <w:iCs w:val="false"/>
          <w:color w:val="0F2A47"/>
          <w:sz w:val="40"/>
          <w:szCs w:val="40"/>
        </w:rPr>
        <w:t xml:space="preserve">GamblingLawyers.com Launches as the First Global Directory Dedicated to Specialist Gambling and iGaming Legal Counsel</w:t>
      </w:r>
    </w:p>
    <w:p>
      <w:pPr>
        <w:spacing w:after="280" w:before="0"/>
      </w:pPr>
      <w:r>
        <w:rPr>
          <w:rFonts w:ascii="Georgia" w:cs="Georgia" w:eastAsia="Georgia" w:hAnsi="Georgia"/>
          <w:b w:val="false"/>
          <w:bCs w:val="false"/>
          <w:i/>
          <w:iCs/>
          <w:color w:val="4A5260"/>
          <w:sz w:val="22"/>
          <w:szCs w:val="22"/>
        </w:rPr>
        <w:t xml:space="preserve">Portal debuts with 115 verified law firms across 35 jurisdictions and four continents, offering operators, regulators, and industry stakeholders a single trusted source for finding specialist gambling counsel.</w:t>
      </w:r>
    </w:p>
    <w:p>
      <w:pPr>
        <w:pBdr>
          <w:bottom w:val="single" w:color="B28A3E" w:sz="6" w:space="1"/>
        </w:pBdr>
        <w:spacing w:after="280" w:before="0"/>
      </w:pPr>
    </w:p>
    <w:p>
      <w:pPr>
        <w:spacing w:after="200" w:before="0"/>
      </w:pPr>
      <w:r>
        <w:rPr>
          <w:rFonts w:ascii="Inter" w:cs="Inter" w:eastAsia="Inter" w:hAnsi="Inter"/>
          <w:b/>
          <w:bCs/>
          <w:color w:val="0F2A47"/>
          <w:sz w:val="20"/>
          <w:szCs w:val="20"/>
        </w:rPr>
        <w:t xml:space="preserve">London, April 2026</w:t>
      </w:r>
      <w:r>
        <w:rPr>
          <w:rFonts w:ascii="Inter" w:cs="Inter" w:eastAsia="Inter" w:hAnsi="Inter"/>
          <w:color w:val="4A5260"/>
          <w:sz w:val="20"/>
          <w:szCs w:val="20"/>
        </w:rPr>
        <w:t xml:space="preserve"> — </w:t>
      </w:r>
      <w:hyperlink w:history="1" r:id="rIdshib6ynpwspp_u2ozssrp">
        <w:r>
          <w:rPr>
            <w:rFonts w:ascii="Inter" w:cs="Inter" w:eastAsia="Inter" w:hAnsi="Inter"/>
            <w:color w:val="0F2A47"/>
            <w:sz w:val="20"/>
            <w:szCs w:val="20"/>
            <w:u w:val="single" w:color="B28A3E"/>
          </w:rPr>
          <w:t xml:space="preserve">GamblingLawyers.com</w:t>
        </w:r>
      </w:hyperlink>
      <w:r>
        <w:rPr>
          <w:rFonts w:ascii="Inter" w:cs="Inter" w:eastAsia="Inter" w:hAnsi="Inter"/>
          <w:color w:val="4A5260"/>
          <w:sz w:val="20"/>
          <w:szCs w:val="20"/>
        </w:rPr>
        <w:t xml:space="preserve">, the global directory and editorial intelligence portal for specialist gambling law, today announced its public launch. The platform is the first of its kind to bring together verified specialist gambling and iGaming law firms in a single, free-to-search directory, providing the regulated gambling industry with a resource it has long lacked: a curated, independent guide to the legal professionals who understand its unique regulatory landscape.</w:t>
      </w:r>
    </w:p>
    <w:p>
      <w:pPr>
        <w:pStyle w:val="Heading2"/>
      </w:pPr>
      <w:r>
        <w:t xml:space="preserve">Filling a Critical Gap in a $500 Billion Industry</w:t>
      </w:r>
    </w:p>
    <w:p>
      <w:pPr>
        <w:spacing w:after="200" w:before="0"/>
      </w:pPr>
      <w:r>
        <w:rPr>
          <w:rFonts w:ascii="Inter" w:cs="Inter" w:eastAsia="Inter" w:hAnsi="Inter"/>
          <w:color w:val="4A5260"/>
          <w:sz w:val="20"/>
          <w:szCs w:val="20"/>
        </w:rPr>
        <w:t xml:space="preserve">The global gambling and iGaming market is projected to exceed $500 billion in gross revenue by 2028, yet the industry has lacked a centralised, trusted directory of specialist legal counsel. Operators expanding into new markets, start-ups applying for their first licence, affiliates navigating advertising law, and even regulators seeking to understand cross-border enforcement dynamics have until now relied on fragmented word-of-mouth networks and generic legal directories that do not distinguish gambling specialists from general commercial practitioners.</w:t>
      </w:r>
    </w:p>
    <w:p>
      <w:pPr>
        <w:spacing w:after="200" w:before="0"/>
      </w:pPr>
      <w:r>
        <w:rPr>
          <w:rFonts w:ascii="Inter" w:cs="Inter" w:eastAsia="Inter" w:hAnsi="Inter"/>
          <w:color w:val="4A5260"/>
          <w:sz w:val="20"/>
          <w:szCs w:val="20"/>
        </w:rPr>
        <w:t xml:space="preserve">“If you need a gambling lawyer in Malta or a sports-betting compliance specialist in Brazil, finding one should not require a PhD in networking,” said </w:t>
      </w:r>
      <w:r>
        <w:rPr>
          <w:rFonts w:ascii="Inter" w:cs="Inter" w:eastAsia="Inter" w:hAnsi="Inter"/>
          <w:b/>
          <w:bCs/>
          <w:color w:val="0B0F14"/>
          <w:sz w:val="20"/>
          <w:szCs w:val="20"/>
        </w:rPr>
        <w:t xml:space="preserve">James Ashford</w:t>
      </w:r>
      <w:r>
        <w:rPr>
          <w:rFonts w:ascii="Inter" w:cs="Inter" w:eastAsia="Inter" w:hAnsi="Inter"/>
          <w:color w:val="4A5260"/>
          <w:sz w:val="20"/>
          <w:szCs w:val="20"/>
        </w:rPr>
        <w:t xml:space="preserve">, Editorial Director of GamblingLawyers.com. “We built this portal because the industry deserves the same quality of legal intelligence that sectors like banking and technology have enjoyed for years.”</w:t>
      </w:r>
    </w:p>
    <w:p>
      <w:pPr>
        <w:pStyle w:val="Heading2"/>
      </w:pPr>
      <w:r>
        <w:t xml:space="preserve">What the Platform Offers</w:t>
      </w:r>
    </w:p>
    <w:p>
      <w:pPr>
        <w:spacing w:after="160" w:before="0"/>
      </w:pPr>
      <w:r>
        <w:rPr>
          <w:rFonts w:ascii="Inter" w:cs="Inter" w:eastAsia="Inter" w:hAnsi="Inter"/>
          <w:color w:val="4A5260"/>
          <w:sz w:val="20"/>
          <w:szCs w:val="20"/>
        </w:rPr>
        <w:t xml:space="preserve">GamblingLawyers.com launches with five core pillars:</w:t>
      </w:r>
    </w:p>
    <w:p>
      <w:pPr>
        <w:spacing w:after="120" w:before="0"/>
      </w:pPr>
      <w:r>
        <w:rPr>
          <w:rFonts w:ascii="Inter" w:cs="Inter" w:eastAsia="Inter" w:hAnsi="Inter"/>
          <w:b/>
          <w:bCs/>
          <w:color w:val="0B0F14"/>
          <w:sz w:val="20"/>
          <w:szCs w:val="20"/>
        </w:rPr>
        <w:t xml:space="preserve">1. A Verified Directory of 115 Specialist Law Firms. </w:t>
      </w:r>
      <w:r>
        <w:rPr>
          <w:rFonts w:ascii="Inter" w:cs="Inter" w:eastAsia="Inter" w:hAnsi="Inter"/>
          <w:color w:val="4A5260"/>
          <w:sz w:val="20"/>
          <w:szCs w:val="20"/>
        </w:rPr>
        <w:t xml:space="preserve">Every firm listed on the platform has been assessed against strict verification criteria drawn from Chambers and Partners, The Legal 500, the International Masters of Gaming Law (IMGL) network, and firm-level due diligence. Browse the full directory at </w:t>
      </w:r>
      <w:hyperlink w:history="1" r:id="rIdoxpi4yr2ty3ygwiwf5rdf">
        <w:r>
          <w:rPr>
            <w:rFonts w:ascii="Inter" w:cs="Inter" w:eastAsia="Inter" w:hAnsi="Inter"/>
            <w:color w:val="0F2A47"/>
            <w:sz w:val="20"/>
            <w:szCs w:val="20"/>
            <w:u w:val="single" w:color="B28A3E"/>
          </w:rPr>
          <w:t xml:space="preserve">gamblinglawyers.com/law-firms</w:t>
        </w:r>
      </w:hyperlink>
      <w:r>
        <w:rPr>
          <w:rFonts w:ascii="Inter" w:cs="Inter" w:eastAsia="Inter" w:hAnsi="Inter"/>
          <w:color w:val="4A5260"/>
          <w:sz w:val="20"/>
          <w:szCs w:val="20"/>
        </w:rPr>
        <w:t xml:space="preserve">.</w:t>
      </w:r>
    </w:p>
    <w:p>
      <w:pPr>
        <w:spacing w:after="120" w:before="0"/>
      </w:pPr>
      <w:r>
        <w:rPr>
          <w:rFonts w:ascii="Inter" w:cs="Inter" w:eastAsia="Inter" w:hAnsi="Inter"/>
          <w:b/>
          <w:bCs/>
          <w:color w:val="0B0F14"/>
          <w:sz w:val="20"/>
          <w:szCs w:val="20"/>
        </w:rPr>
        <w:t xml:space="preserve">2. Coverage Across 35 Regulated Jurisdictions. </w:t>
      </w:r>
      <w:r>
        <w:rPr>
          <w:rFonts w:ascii="Inter" w:cs="Inter" w:eastAsia="Inter" w:hAnsi="Inter"/>
          <w:color w:val="4A5260"/>
          <w:sz w:val="20"/>
          <w:szCs w:val="20"/>
        </w:rPr>
        <w:t xml:space="preserve">From established markets like the </w:t>
      </w:r>
      <w:hyperlink w:history="1" r:id="rIdyfuc8g5uflsebboehah0u">
        <w:r>
          <w:rPr>
            <w:rFonts w:ascii="Inter" w:cs="Inter" w:eastAsia="Inter" w:hAnsi="Inter"/>
            <w:color w:val="0F2A47"/>
            <w:sz w:val="20"/>
            <w:szCs w:val="20"/>
            <w:u w:val="single" w:color="B28A3E"/>
          </w:rPr>
          <w:t xml:space="preserve">United Kingdom</w:t>
        </w:r>
      </w:hyperlink>
      <w:r>
        <w:rPr>
          <w:rFonts w:ascii="Inter" w:cs="Inter" w:eastAsia="Inter" w:hAnsi="Inter"/>
          <w:color w:val="4A5260"/>
          <w:sz w:val="20"/>
          <w:szCs w:val="20"/>
        </w:rPr>
        <w:t xml:space="preserve"> and </w:t>
      </w:r>
      <w:hyperlink w:history="1" r:id="rId0c_4-i-mj-14cxkt-_9dt">
        <w:r>
          <w:rPr>
            <w:rFonts w:ascii="Inter" w:cs="Inter" w:eastAsia="Inter" w:hAnsi="Inter"/>
            <w:color w:val="0F2A47"/>
            <w:sz w:val="20"/>
            <w:szCs w:val="20"/>
            <w:u w:val="single" w:color="B28A3E"/>
          </w:rPr>
          <w:t xml:space="preserve">Malta</w:t>
        </w:r>
      </w:hyperlink>
      <w:r>
        <w:rPr>
          <w:rFonts w:ascii="Inter" w:cs="Inter" w:eastAsia="Inter" w:hAnsi="Inter"/>
          <w:color w:val="4A5260"/>
          <w:sz w:val="20"/>
          <w:szCs w:val="20"/>
        </w:rPr>
        <w:t xml:space="preserve"> to fast-emerging regimes across Latin America, Asia-Pacific, and Africa, each jurisdiction page catalogues the local regulator, market status, applicable legislation, and the specialist firms with physical offices in that country.</w:t>
      </w:r>
    </w:p>
    <w:p>
      <w:pPr>
        <w:spacing w:after="120" w:before="0"/>
      </w:pPr>
      <w:r>
        <w:rPr>
          <w:rFonts w:ascii="Inter" w:cs="Inter" w:eastAsia="Inter" w:hAnsi="Inter"/>
          <w:b/>
          <w:bCs/>
          <w:color w:val="0B0F14"/>
          <w:sz w:val="20"/>
          <w:szCs w:val="20"/>
        </w:rPr>
        <w:t xml:space="preserve">3. 20 Dedicated Practice Area Pages. </w:t>
      </w:r>
      <w:r>
        <w:rPr>
          <w:rFonts w:ascii="Inter" w:cs="Inter" w:eastAsia="Inter" w:hAnsi="Inter"/>
          <w:color w:val="4A5260"/>
          <w:sz w:val="20"/>
          <w:szCs w:val="20"/>
        </w:rPr>
        <w:t xml:space="preserve">The directory is organised not only by geography but by legal discipline—covering licensing, regulatory compliance, AML/KYC, corporate M&amp;A, payments and fintech, advertising law, responsible gaming, data protection, dispute resolution, and more—allowing clients to find counsel whose expertise precisely matches their legal challenge. Explore the full range at </w:t>
      </w:r>
      <w:hyperlink w:history="1" r:id="rIdp9d-5lj-kefv32ljfedy5">
        <w:r>
          <w:rPr>
            <w:rFonts w:ascii="Inter" w:cs="Inter" w:eastAsia="Inter" w:hAnsi="Inter"/>
            <w:color w:val="0F2A47"/>
            <w:sz w:val="20"/>
            <w:szCs w:val="20"/>
            <w:u w:val="single" w:color="B28A3E"/>
          </w:rPr>
          <w:t xml:space="preserve">gamblinglawyers.com/practice-areas</w:t>
        </w:r>
      </w:hyperlink>
      <w:r>
        <w:rPr>
          <w:rFonts w:ascii="Inter" w:cs="Inter" w:eastAsia="Inter" w:hAnsi="Inter"/>
          <w:color w:val="4A5260"/>
          <w:sz w:val="20"/>
          <w:szCs w:val="20"/>
        </w:rPr>
        <w:t xml:space="preserve">.</w:t>
      </w:r>
    </w:p>
    <w:p>
      <w:pPr>
        <w:spacing w:after="120" w:before="0"/>
      </w:pPr>
      <w:r>
        <w:rPr>
          <w:rFonts w:ascii="Inter" w:cs="Inter" w:eastAsia="Inter" w:hAnsi="Inter"/>
          <w:b/>
          <w:bCs/>
          <w:color w:val="0B0F14"/>
          <w:sz w:val="20"/>
          <w:szCs w:val="20"/>
        </w:rPr>
        <w:t xml:space="preserve">4. Editorial Intelligence. </w:t>
      </w:r>
      <w:r>
        <w:rPr>
          <w:rFonts w:ascii="Inter" w:cs="Inter" w:eastAsia="Inter" w:hAnsi="Inter"/>
          <w:color w:val="4A5260"/>
          <w:sz w:val="20"/>
          <w:szCs w:val="20"/>
        </w:rPr>
        <w:t xml:space="preserve">The platform publishes original analytical commentary on regulatory developments, enforcement actions, and legislative changes affecting the global gambling sector. Early coverage includes assessments of the UK Gambling Commission’s latest LCCP enforcement priorities, Brazil’s SPA supervisory agenda, and Sweden’s Spelinspektionen duty-of-care framework. Read the latest at </w:t>
      </w:r>
      <w:hyperlink w:history="1" r:id="rIdvn_19ofkn4ew_aqo70blo">
        <w:r>
          <w:rPr>
            <w:rFonts w:ascii="Inter" w:cs="Inter" w:eastAsia="Inter" w:hAnsi="Inter"/>
            <w:color w:val="0F2A47"/>
            <w:sz w:val="20"/>
            <w:szCs w:val="20"/>
            <w:u w:val="single" w:color="B28A3E"/>
          </w:rPr>
          <w:t xml:space="preserve">gamblinglawyers.com/news</w:t>
        </w:r>
      </w:hyperlink>
      <w:r>
        <w:rPr>
          <w:rFonts w:ascii="Inter" w:cs="Inter" w:eastAsia="Inter" w:hAnsi="Inter"/>
          <w:color w:val="4A5260"/>
          <w:sz w:val="20"/>
          <w:szCs w:val="20"/>
        </w:rPr>
        <w:t xml:space="preserve">.</w:t>
      </w:r>
    </w:p>
    <w:p>
      <w:pPr>
        <w:spacing w:after="200" w:before="0"/>
      </w:pPr>
      <w:r>
        <w:rPr>
          <w:rFonts w:ascii="Inter" w:cs="Inter" w:eastAsia="Inter" w:hAnsi="Inter"/>
          <w:b/>
          <w:bCs/>
          <w:color w:val="0B0F14"/>
          <w:sz w:val="20"/>
          <w:szCs w:val="20"/>
        </w:rPr>
        <w:t xml:space="preserve">5. Confidential Introduction Service. </w:t>
      </w:r>
      <w:r>
        <w:rPr>
          <w:rFonts w:ascii="Inter" w:cs="Inter" w:eastAsia="Inter" w:hAnsi="Inter"/>
          <w:color w:val="4A5260"/>
          <w:sz w:val="20"/>
          <w:szCs w:val="20"/>
        </w:rPr>
        <w:t xml:space="preserve">Operators and other industry stakeholders who prefer not to cold-call firms can use the platform’s confidential introduction workflow, which connects them with verified counsel without exposing their identity or the details of their matter until they choose to engage.</w:t>
      </w:r>
    </w:p>
    <w:p>
      <w:pPr>
        <w:pStyle w:val="Heading2"/>
      </w:pPr>
      <w:r>
        <w:t xml:space="preserve">Vision: The Definitive Authority for Gambling Law</w:t>
      </w:r>
    </w:p>
    <w:p>
      <w:pPr>
        <w:spacing w:after="200" w:before="0"/>
      </w:pPr>
      <w:r>
        <w:rPr>
          <w:rFonts w:ascii="Inter" w:cs="Inter" w:eastAsia="Inter" w:hAnsi="Inter"/>
          <w:color w:val="4A5260"/>
          <w:sz w:val="20"/>
          <w:szCs w:val="20"/>
        </w:rPr>
        <w:t xml:space="preserve">The GamblingLawyers.com team intends to expand the platform into the industry’s most comprehensive legal intelligence resource. The editorial roadmap includes quarterly flagship publications—a Global Gambling Licensing Guide, an Enforcement Tracker, a Regulation Index, and an M&amp;A Tracker—alongside a weekly newsletter delivering concise regulatory briefings to in-house legal teams and compliance officers worldwide.</w:t>
      </w:r>
    </w:p>
    <w:p>
      <w:pPr>
        <w:spacing w:after="200" w:before="0"/>
      </w:pPr>
      <w:r>
        <w:rPr>
          <w:rFonts w:ascii="Inter" w:cs="Inter" w:eastAsia="Inter" w:hAnsi="Inter"/>
          <w:color w:val="4A5260"/>
          <w:sz w:val="20"/>
          <w:szCs w:val="20"/>
        </w:rPr>
        <w:t xml:space="preserve">“Our ambition is not just to list lawyers but to become the place the industry turns to when it needs to understand what is happening in gambling regulation anywhere in the world,” said Ashford. “We want to consolidate the brightest legal minds and the most respected firms in one place, so that whether you are a multinational operator entering a new market or a regulator benchmarking enforcement approaches internationally, your starting point is always GamblingLawyers.com.”</w:t>
      </w:r>
    </w:p>
    <w:p>
      <w:pPr>
        <w:pStyle w:val="Heading2"/>
      </w:pPr>
      <w:r>
        <w:t xml:space="preserve">Who the Platform Serves</w:t>
      </w:r>
    </w:p>
    <w:p>
      <w:pPr>
        <w:spacing w:after="120" w:before="0"/>
      </w:pPr>
      <w:r>
        <w:rPr>
          <w:rFonts w:ascii="Inter" w:cs="Inter" w:eastAsia="Inter" w:hAnsi="Inter"/>
          <w:color w:val="4A5260"/>
          <w:sz w:val="20"/>
          <w:szCs w:val="20"/>
        </w:rPr>
        <w:t xml:space="preserve">GamblingLawyers.com is designed for every stakeholder in the regulated gambling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5F1E8" w:sz="1"/>
              <w:left w:val="single" w:color="F5F1E8" w:sz="1"/>
              <w:bottom w:val="single" w:color="F5F1E8" w:sz="1"/>
              <w:right w:val="single" w:color="F5F1E8" w:sz="1"/>
            </w:tcBorders>
            <w:shd w:fill="FBF5E8" w:val="clear"/>
            <w:tcMar>
              <w:top w:type="dxa" w:w="80"/>
              <w:left w:type="dxa" w:w="120"/>
              <w:bottom w:type="dxa" w:w="80"/>
              <w:right w:type="dxa" w:w="120"/>
            </w:tcMar>
          </w:tcPr>
          <w:p>
            <w:r>
              <w:rPr>
                <w:rFonts w:ascii="Inter" w:cs="Inter" w:eastAsia="Inter" w:hAnsi="Inter"/>
                <w:b/>
                <w:bCs/>
                <w:color w:val="0B0F14"/>
                <w:sz w:val="19"/>
                <w:szCs w:val="19"/>
              </w:rPr>
              <w:t xml:space="preserve">Operators &amp; Suppliers</w:t>
            </w:r>
          </w:p>
        </w:tc>
        <w:tc>
          <w:tcPr>
            <w:tcW w:type="dxa" w:w="6560"/>
            <w:tcBorders>
              <w:top w:val="single" w:color="F5F1E8" w:sz="1"/>
              <w:left w:val="single" w:color="F5F1E8" w:sz="1"/>
              <w:bottom w:val="single" w:color="F5F1E8" w:sz="1"/>
              <w:right w:val="single" w:color="F5F1E8" w:sz="1"/>
            </w:tcBorders>
            <w:shd w:fill="FBF5E8" w:val="clear"/>
            <w:tcMar>
              <w:top w:type="dxa" w:w="80"/>
              <w:left w:type="dxa" w:w="120"/>
              <w:bottom w:type="dxa" w:w="80"/>
              <w:right w:type="dxa" w:w="120"/>
            </w:tcMar>
          </w:tcPr>
          <w:p>
            <w:r>
              <w:rPr>
                <w:rFonts w:ascii="Inter" w:cs="Inter" w:eastAsia="Inter" w:hAnsi="Inter"/>
                <w:color w:val="4A5260"/>
                <w:sz w:val="19"/>
                <w:szCs w:val="19"/>
              </w:rPr>
              <w:t xml:space="preserve">Licence applications, market entry, regulatory compliance, M&amp;A due diligence</w:t>
            </w:r>
          </w:p>
        </w:tc>
      </w:tr>
      <w:tr>
        <w:tc>
          <w:tcPr>
            <w:tcW w:type="dxa" w:w="2800"/>
            <w:tcBorders>
              <w:top w:val="single" w:color="F5F1E8" w:sz="1"/>
              <w:left w:val="single" w:color="F5F1E8" w:sz="1"/>
              <w:bottom w:val="single" w:color="F5F1E8" w:sz="1"/>
              <w:right w:val="single" w:color="F5F1E8" w:sz="1"/>
            </w:tcBorders>
            <w:shd w:fill="FFFFFF" w:val="clear"/>
            <w:tcMar>
              <w:top w:type="dxa" w:w="80"/>
              <w:left w:type="dxa" w:w="120"/>
              <w:bottom w:type="dxa" w:w="80"/>
              <w:right w:type="dxa" w:w="120"/>
            </w:tcMar>
          </w:tcPr>
          <w:p>
            <w:r>
              <w:rPr>
                <w:rFonts w:ascii="Inter" w:cs="Inter" w:eastAsia="Inter" w:hAnsi="Inter"/>
                <w:b/>
                <w:bCs/>
                <w:color w:val="0B0F14"/>
                <w:sz w:val="19"/>
                <w:szCs w:val="19"/>
              </w:rPr>
              <w:t xml:space="preserve">Affiliates &amp; Media</w:t>
            </w:r>
          </w:p>
        </w:tc>
        <w:tc>
          <w:tcPr>
            <w:tcW w:type="dxa" w:w="6560"/>
            <w:tcBorders>
              <w:top w:val="single" w:color="F5F1E8" w:sz="1"/>
              <w:left w:val="single" w:color="F5F1E8" w:sz="1"/>
              <w:bottom w:val="single" w:color="F5F1E8" w:sz="1"/>
              <w:right w:val="single" w:color="F5F1E8" w:sz="1"/>
            </w:tcBorders>
            <w:shd w:fill="FFFFFF" w:val="clear"/>
            <w:tcMar>
              <w:top w:type="dxa" w:w="80"/>
              <w:left w:type="dxa" w:w="120"/>
              <w:bottom w:type="dxa" w:w="80"/>
              <w:right w:type="dxa" w:w="120"/>
            </w:tcMar>
          </w:tcPr>
          <w:p>
            <w:r>
              <w:rPr>
                <w:rFonts w:ascii="Inter" w:cs="Inter" w:eastAsia="Inter" w:hAnsi="Inter"/>
                <w:color w:val="4A5260"/>
                <w:sz w:val="19"/>
                <w:szCs w:val="19"/>
              </w:rPr>
              <w:t xml:space="preserve">Advertising law, ASA/CMA compliance, affiliate programme terms, responsible marketing</w:t>
            </w:r>
          </w:p>
        </w:tc>
      </w:tr>
      <w:tr>
        <w:tc>
          <w:tcPr>
            <w:tcW w:type="dxa" w:w="2800"/>
            <w:tcBorders>
              <w:top w:val="single" w:color="F5F1E8" w:sz="1"/>
              <w:left w:val="single" w:color="F5F1E8" w:sz="1"/>
              <w:bottom w:val="single" w:color="F5F1E8" w:sz="1"/>
              <w:right w:val="single" w:color="F5F1E8" w:sz="1"/>
            </w:tcBorders>
            <w:shd w:fill="FBF5E8" w:val="clear"/>
            <w:tcMar>
              <w:top w:type="dxa" w:w="80"/>
              <w:left w:type="dxa" w:w="120"/>
              <w:bottom w:type="dxa" w:w="80"/>
              <w:right w:type="dxa" w:w="120"/>
            </w:tcMar>
          </w:tcPr>
          <w:p>
            <w:r>
              <w:rPr>
                <w:rFonts w:ascii="Inter" w:cs="Inter" w:eastAsia="Inter" w:hAnsi="Inter"/>
                <w:b/>
                <w:bCs/>
                <w:color w:val="0B0F14"/>
                <w:sz w:val="19"/>
                <w:szCs w:val="19"/>
              </w:rPr>
              <w:t xml:space="preserve">Regulators &amp; Governments</w:t>
            </w:r>
          </w:p>
        </w:tc>
        <w:tc>
          <w:tcPr>
            <w:tcW w:type="dxa" w:w="6560"/>
            <w:tcBorders>
              <w:top w:val="single" w:color="F5F1E8" w:sz="1"/>
              <w:left w:val="single" w:color="F5F1E8" w:sz="1"/>
              <w:bottom w:val="single" w:color="F5F1E8" w:sz="1"/>
              <w:right w:val="single" w:color="F5F1E8" w:sz="1"/>
            </w:tcBorders>
            <w:shd w:fill="FBF5E8" w:val="clear"/>
            <w:tcMar>
              <w:top w:type="dxa" w:w="80"/>
              <w:left w:type="dxa" w:w="120"/>
              <w:bottom w:type="dxa" w:w="80"/>
              <w:right w:type="dxa" w:w="120"/>
            </w:tcMar>
          </w:tcPr>
          <w:p>
            <w:r>
              <w:rPr>
                <w:rFonts w:ascii="Inter" w:cs="Inter" w:eastAsia="Inter" w:hAnsi="Inter"/>
                <w:color w:val="4A5260"/>
                <w:sz w:val="19"/>
                <w:szCs w:val="19"/>
              </w:rPr>
              <w:t xml:space="preserve">Cross-border enforcement benchmarking, regulatory reform consultations, expert witness identification</w:t>
            </w:r>
          </w:p>
        </w:tc>
      </w:tr>
      <w:tr>
        <w:tc>
          <w:tcPr>
            <w:tcW w:type="dxa" w:w="2800"/>
            <w:tcBorders>
              <w:top w:val="single" w:color="F5F1E8" w:sz="1"/>
              <w:left w:val="single" w:color="F5F1E8" w:sz="1"/>
              <w:bottom w:val="single" w:color="F5F1E8" w:sz="1"/>
              <w:right w:val="single" w:color="F5F1E8" w:sz="1"/>
            </w:tcBorders>
            <w:shd w:fill="FFFFFF" w:val="clear"/>
            <w:tcMar>
              <w:top w:type="dxa" w:w="80"/>
              <w:left w:type="dxa" w:w="120"/>
              <w:bottom w:type="dxa" w:w="80"/>
              <w:right w:type="dxa" w:w="120"/>
            </w:tcMar>
          </w:tcPr>
          <w:p>
            <w:r>
              <w:rPr>
                <w:rFonts w:ascii="Inter" w:cs="Inter" w:eastAsia="Inter" w:hAnsi="Inter"/>
                <w:b/>
                <w:bCs/>
                <w:color w:val="0B0F14"/>
                <w:sz w:val="19"/>
                <w:szCs w:val="19"/>
              </w:rPr>
              <w:t xml:space="preserve">Investors &amp; Corporates</w:t>
            </w:r>
          </w:p>
        </w:tc>
        <w:tc>
          <w:tcPr>
            <w:tcW w:type="dxa" w:w="6560"/>
            <w:tcBorders>
              <w:top w:val="single" w:color="F5F1E8" w:sz="1"/>
              <w:left w:val="single" w:color="F5F1E8" w:sz="1"/>
              <w:bottom w:val="single" w:color="F5F1E8" w:sz="1"/>
              <w:right w:val="single" w:color="F5F1E8" w:sz="1"/>
            </w:tcBorders>
            <w:shd w:fill="FFFFFF" w:val="clear"/>
            <w:tcMar>
              <w:top w:type="dxa" w:w="80"/>
              <w:left w:type="dxa" w:w="120"/>
              <w:bottom w:type="dxa" w:w="80"/>
              <w:right w:type="dxa" w:w="120"/>
            </w:tcMar>
          </w:tcPr>
          <w:p>
            <w:r>
              <w:rPr>
                <w:rFonts w:ascii="Inter" w:cs="Inter" w:eastAsia="Inter" w:hAnsi="Inter"/>
                <w:color w:val="4A5260"/>
                <w:sz w:val="19"/>
                <w:szCs w:val="19"/>
              </w:rPr>
              <w:t xml:space="preserve">Due diligence on gambling assets, risk assessment, regulatory exposure analysis</w:t>
            </w:r>
          </w:p>
        </w:tc>
      </w:tr>
      <w:tr>
        <w:tc>
          <w:tcPr>
            <w:tcW w:type="dxa" w:w="2800"/>
            <w:tcBorders>
              <w:top w:val="single" w:color="F5F1E8" w:sz="1"/>
              <w:left w:val="single" w:color="F5F1E8" w:sz="1"/>
              <w:bottom w:val="single" w:color="F5F1E8" w:sz="1"/>
              <w:right w:val="single" w:color="F5F1E8" w:sz="1"/>
            </w:tcBorders>
            <w:shd w:fill="FBF5E8" w:val="clear"/>
            <w:tcMar>
              <w:top w:type="dxa" w:w="80"/>
              <w:left w:type="dxa" w:w="120"/>
              <w:bottom w:type="dxa" w:w="80"/>
              <w:right w:type="dxa" w:w="120"/>
            </w:tcMar>
          </w:tcPr>
          <w:p>
            <w:r>
              <w:rPr>
                <w:rFonts w:ascii="Inter" w:cs="Inter" w:eastAsia="Inter" w:hAnsi="Inter"/>
                <w:b/>
                <w:bCs/>
                <w:color w:val="0B0F14"/>
                <w:sz w:val="19"/>
                <w:szCs w:val="19"/>
              </w:rPr>
              <w:t xml:space="preserve">Players &amp; Advocates</w:t>
            </w:r>
          </w:p>
        </w:tc>
        <w:tc>
          <w:tcPr>
            <w:tcW w:type="dxa" w:w="6560"/>
            <w:tcBorders>
              <w:top w:val="single" w:color="F5F1E8" w:sz="1"/>
              <w:left w:val="single" w:color="F5F1E8" w:sz="1"/>
              <w:bottom w:val="single" w:color="F5F1E8" w:sz="1"/>
              <w:right w:val="single" w:color="F5F1E8" w:sz="1"/>
            </w:tcBorders>
            <w:shd w:fill="FBF5E8" w:val="clear"/>
            <w:tcMar>
              <w:top w:type="dxa" w:w="80"/>
              <w:left w:type="dxa" w:w="120"/>
              <w:bottom w:type="dxa" w:w="80"/>
              <w:right w:type="dxa" w:w="120"/>
            </w:tcMar>
          </w:tcPr>
          <w:p>
            <w:r>
              <w:rPr>
                <w:rFonts w:ascii="Inter" w:cs="Inter" w:eastAsia="Inter" w:hAnsi="Inter"/>
                <w:color w:val="4A5260"/>
                <w:sz w:val="19"/>
                <w:szCs w:val="19"/>
              </w:rPr>
              <w:t xml:space="preserve">Consumer protection, player claims, dispute resolution, responsible gambling referrals</w:t>
            </w:r>
          </w:p>
        </w:tc>
      </w:tr>
    </w:tbl>
    <w:p>
      <w:pPr>
        <w:spacing w:after="0" w:before="200"/>
      </w:pPr>
    </w:p>
    <w:p>
      <w:pPr>
        <w:pStyle w:val="Heading2"/>
      </w:pPr>
      <w:r>
        <w:t xml:space="preserve">Editorial Independence and Verification</w:t>
      </w:r>
    </w:p>
    <w:p>
      <w:pPr>
        <w:spacing w:after="200" w:before="0"/>
      </w:pPr>
      <w:r>
        <w:rPr>
          <w:rFonts w:ascii="Inter" w:cs="Inter" w:eastAsia="Inter" w:hAnsi="Inter"/>
          <w:color w:val="4A5260"/>
          <w:sz w:val="20"/>
          <w:szCs w:val="20"/>
        </w:rPr>
        <w:t xml:space="preserve">GamblingLawyers.com operates under a strict editorial policy. Every law firm listed on the platform has been independently verified against criteria including recognition by Chambers and Partners, The Legal 500, or the IMGL network; a demonstrated track record in gambling-specific legal work; and a physical office presence in each jurisdiction under which it appears. The directory is not pay-to-play: firms cannot purchase a listing, and editorial content is never influenced by commercial relationships.</w:t>
      </w:r>
    </w:p>
    <w:p>
      <w:pPr>
        <w:spacing w:after="200" w:before="0"/>
      </w:pPr>
      <w:r>
        <w:rPr>
          <w:rFonts w:ascii="Inter" w:cs="Inter" w:eastAsia="Inter" w:hAnsi="Inter"/>
          <w:color w:val="4A5260"/>
          <w:sz w:val="20"/>
          <w:szCs w:val="20"/>
        </w:rPr>
        <w:t xml:space="preserve">“Credibility is the product,” said Ashford. “The moment we list a firm that does not belong, or publish analysis that reads like a press release, we lose the trust that makes the directory valuable. Every entry is verified. Every article is analytical, not promotional.”</w:t>
      </w:r>
    </w:p>
    <w:p>
      <w:pPr>
        <w:pBdr>
          <w:top w:val="single" w:color="B28A3E" w:sz="6" w:space="1"/>
        </w:pBdr>
        <w:spacing w:after="0" w:before="200"/>
      </w:pPr>
    </w:p>
    <w:p>
      <w:pPr>
        <w:pStyle w:val="Heading2"/>
      </w:pPr>
      <w:r>
        <w:t xml:space="preserve">About GamblingLawyers.com</w:t>
      </w:r>
    </w:p>
    <w:p>
      <w:pPr>
        <w:spacing w:after="200" w:before="0"/>
      </w:pPr>
      <w:r>
        <w:rPr>
          <w:rFonts w:ascii="Inter" w:cs="Inter" w:eastAsia="Inter" w:hAnsi="Inter"/>
          <w:color w:val="4A5260"/>
          <w:sz w:val="20"/>
          <w:szCs w:val="20"/>
        </w:rPr>
        <w:t xml:space="preserve">GamblingLawyers.com is the global directory and editorial intelligence portal for specialist gambling and iGaming law. Launched in April 2026 with 115 verified law firms across 35 jurisdictions spanning Europe, the Americas, Asia-Pacific, and Africa, the platform provides operators, regulators, affiliates, investors, and other industry stakeholders with a trusted, independent source for finding specialist gambling counsel and understanding the regulatory landscape worldwide. Visit </w:t>
      </w:r>
      <w:hyperlink w:history="1" r:id="rIdja3jmzlxpnpjjlaffyam5">
        <w:r>
          <w:rPr>
            <w:rFonts w:ascii="Inter" w:cs="Inter" w:eastAsia="Inter" w:hAnsi="Inter"/>
            <w:color w:val="0F2A47"/>
            <w:sz w:val="20"/>
            <w:szCs w:val="20"/>
            <w:u w:val="single" w:color="B28A3E"/>
          </w:rPr>
          <w:t xml:space="preserve">www.gamblinglawyers.com</w:t>
        </w:r>
      </w:hyperlink>
      <w:r>
        <w:rPr>
          <w:rFonts w:ascii="Inter" w:cs="Inter" w:eastAsia="Inter" w:hAnsi="Inter"/>
          <w:color w:val="4A5260"/>
          <w:sz w:val="20"/>
          <w:szCs w:val="20"/>
        </w:rPr>
        <w:t xml:space="preserve">.</w:t>
      </w:r>
    </w:p>
    <w:p>
      <w:pPr>
        <w:pStyle w:val="Heading2"/>
      </w:pPr>
      <w:r>
        <w:t xml:space="preserve">Media Contact</w:t>
      </w:r>
    </w:p>
    <w:p>
      <w:pPr>
        <w:spacing w:after="40" w:before="0"/>
      </w:pPr>
      <w:r>
        <w:rPr>
          <w:rFonts w:ascii="Inter" w:cs="Inter" w:eastAsia="Inter" w:hAnsi="Inter"/>
          <w:b/>
          <w:bCs/>
          <w:color w:val="0B0F14"/>
          <w:sz w:val="20"/>
          <w:szCs w:val="20"/>
        </w:rPr>
        <w:t xml:space="preserve">James Ashford</w:t>
      </w:r>
      <w:r>
        <w:rPr>
          <w:rFonts w:ascii="Inter" w:cs="Inter" w:eastAsia="Inter" w:hAnsi="Inter"/>
          <w:color w:val="4A5260"/>
          <w:sz w:val="20"/>
          <w:szCs w:val="20"/>
        </w:rPr>
        <w:t xml:space="preserve">, Editorial Director</w:t>
      </w:r>
    </w:p>
    <w:p>
      <w:pPr>
        <w:spacing w:after="40" w:before="0"/>
      </w:pPr>
      <w:r>
        <w:rPr>
          <w:rFonts w:ascii="Inter" w:cs="Inter" w:eastAsia="Inter" w:hAnsi="Inter"/>
          <w:color w:val="4A5260"/>
          <w:sz w:val="20"/>
          <w:szCs w:val="20"/>
        </w:rPr>
        <w:t xml:space="preserve">GamblingLawyers.com</w:t>
      </w:r>
    </w:p>
    <w:p>
      <w:pPr>
        <w:spacing w:after="40" w:before="0"/>
      </w:pPr>
      <w:r>
        <w:rPr>
          <w:rFonts w:ascii="Inter" w:cs="Inter" w:eastAsia="Inter" w:hAnsi="Inter"/>
          <w:color w:val="4A5260"/>
          <w:sz w:val="20"/>
          <w:szCs w:val="20"/>
        </w:rPr>
        <w:t xml:space="preserve">info@gamblinglawyers.com</w:t>
      </w:r>
    </w:p>
    <w:p>
      <w:pPr>
        <w:spacing w:after="40" w:before="0"/>
      </w:pPr>
      <w:hyperlink w:history="1" r:id="rIdxt3yxfs3kqodtzkh-0gks">
        <w:r>
          <w:rPr>
            <w:rFonts w:ascii="Inter" w:cs="Inter" w:eastAsia="Inter" w:hAnsi="Inter"/>
            <w:color w:val="0F2A47"/>
            <w:sz w:val="20"/>
            <w:szCs w:val="20"/>
            <w:u w:val="single" w:color="B28A3E"/>
          </w:rPr>
          <w:t xml:space="preserve">www.gamblinglawyers.com</w:t>
        </w:r>
      </w:hyperlink>
    </w:p>
    <w:p>
      <w:pPr>
        <w:spacing w:after="0" w:before="280"/>
        <w:jc w:val="center"/>
      </w:pPr>
      <w:r>
        <w:rPr>
          <w:rFonts w:ascii="Georgia" w:cs="Georgia" w:eastAsia="Georgia" w:hAnsi="Georgia"/>
          <w:b/>
          <w:bCs/>
          <w:color w:val="B28A3E"/>
          <w:sz w:val="24"/>
          <w:szCs w:val="24"/>
        </w:rPr>
        <w:t xml:space="preserve">###</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F1E8" w:sz="2"/>
      </w:pBdr>
      <w:spacing w:after="0" w:before="0"/>
      <w:jc w:val="center"/>
    </w:pPr>
    <w:r>
      <w:rPr>
        <w:rFonts w:ascii="Inter" w:cs="Inter" w:eastAsia="Inter" w:hAnsi="Inter"/>
        <w:color w:val="4A5260"/>
        <w:sz w:val="16"/>
        <w:szCs w:val="16"/>
      </w:rPr>
      <w:t xml:space="preserve">GamblingLawyers.com  ·  info@gamblinglawyers.com  ·  www.gamblinglawyers.com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8A3E" w:sz="4"/>
      </w:pBdr>
      <w:tabs>
        <w:tab w:val="right" w:pos="9026"/>
      </w:tabs>
      <w:spacing w:after="0" w:before="0"/>
    </w:pPr>
    <w:r>
      <w:rPr>
        <w:rFonts w:ascii="Georgia" w:cs="Georgia" w:eastAsia="Georgia" w:hAnsi="Georgia"/>
        <w:b/>
        <w:bCs/>
        <w:color w:val="0F2A47"/>
        <w:sz w:val="18"/>
        <w:szCs w:val="18"/>
      </w:rPr>
      <w:t xml:space="preserve">GAMBLINGLAWYERS.COM</w:t>
    </w:r>
    <w:r>
      <w:t xml:space="preserve">	</w:t>
    </w:r>
    <w:r>
      <w:rPr>
        <w:rFonts w:ascii="Inter" w:cs="Inter" w:eastAsia="Inter" w:hAnsi="Inter"/>
        <w:b/>
        <w:bCs/>
        <w:color w:val="B28A3E"/>
        <w:sz w:val="16"/>
        <w:szCs w:val="16"/>
      </w:rPr>
      <w:t xml:space="preserve">PRESS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B0F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pPr>
    <w:rPr>
      <w:rFonts w:ascii="Georgia" w:cs="Georgia" w:eastAsia="Georgia" w:hAnsi="Georgia"/>
      <w:b/>
      <w:bCs/>
      <w:color w:val="0F2A47"/>
      <w:sz w:val="36"/>
      <w:szCs w:val="36"/>
    </w:rPr>
  </w:style>
  <w:style w:type="paragraph" w:styleId="Heading2">
    <w:name w:val="Heading 2"/>
    <w:basedOn w:val="Normal"/>
    <w:next w:val="Normal"/>
    <w:qFormat/>
    <w:pPr>
      <w:spacing w:after="120" w:before="240"/>
    </w:pPr>
    <w:rPr>
      <w:rFonts w:ascii="Georgia" w:cs="Georgia" w:eastAsia="Georgia" w:hAnsi="Georgia"/>
      <w:b/>
      <w:bCs/>
      <w:color w:val="0F2A47"/>
      <w:sz w:val="26"/>
      <w:szCs w:val="26"/>
    </w:rPr>
  </w:style>
  <w:style w:type="character" w:styleId="Hyperlink">
    <w:name w:val="Hyperlink"/>
    <w:uiPriority w:val="99"/>
    <w:unhideWhenUsed/>
    <w:rPr>
      <w:color w:val="0F2A47"/>
      <w:u w:val="single" w:color="B28A3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hib6ynpwspp_u2ozssrp" Type="http://schemas.openxmlformats.org/officeDocument/2006/relationships/hyperlink" Target="https://www.gamblinglawyers.com" TargetMode="External"/><Relationship Id="rIdoxpi4yr2ty3ygwiwf5rdf" Type="http://schemas.openxmlformats.org/officeDocument/2006/relationships/hyperlink" Target="https://www.gamblinglawyers.com/law-firms" TargetMode="External"/><Relationship Id="rIdyfuc8g5uflsebboehah0u" Type="http://schemas.openxmlformats.org/officeDocument/2006/relationships/hyperlink" Target="https://www.gamblinglawyers.com/jurisdictions/united-kingdom" TargetMode="External"/><Relationship Id="rId0c_4-i-mj-14cxkt-_9dt" Type="http://schemas.openxmlformats.org/officeDocument/2006/relationships/hyperlink" Target="https://www.gamblinglawyers.com/jurisdictions/malta" TargetMode="External"/><Relationship Id="rIdp9d-5lj-kefv32ljfedy5" Type="http://schemas.openxmlformats.org/officeDocument/2006/relationships/hyperlink" Target="https://www.gamblinglawyers.com/practice-areas" TargetMode="External"/><Relationship Id="rIdvn_19ofkn4ew_aqo70blo" Type="http://schemas.openxmlformats.org/officeDocument/2006/relationships/hyperlink" Target="https://www.gamblinglawyers.com/news" TargetMode="External"/><Relationship Id="rIdja3jmzlxpnpjjlaffyam5" Type="http://schemas.openxmlformats.org/officeDocument/2006/relationships/hyperlink" Target="https://www.gamblinglawyers.com" TargetMode="External"/><Relationship Id="rIdxt3yxfs3kqodtzkh-0gks" Type="http://schemas.openxmlformats.org/officeDocument/2006/relationships/hyperlink" Target="https://www.gamblinglawyers.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2026-04-16T17:25:41.653Z</dcterms:created>
  <dcterms:modified xsi:type="dcterms:W3CDTF">2026-04-16T17:25:41.653Z</dcterms:modified>
</cp:coreProperties>
</file>

<file path=docProps/custom.xml><?xml version="1.0" encoding="utf-8"?>
<Properties xmlns="http://schemas.openxmlformats.org/officeDocument/2006/custom-properties" xmlns:vt="http://schemas.openxmlformats.org/officeDocument/2006/docPropsVTypes"/>
</file>