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0D6B6B"/>
          <w:sz w:val="56"/>
          <w:szCs w:val="56"/>
        </w:rPr>
        <w:t xml:space="preserve">RentRiga.com</w:t>
      </w:r>
    </w:p>
    <w:p>
      <w:pPr>
        <w:spacing w:after="60"/>
      </w:pPr>
      <w:r>
        <w:rPr>
          <w:rFonts w:ascii="Calibri" w:cs="Calibri" w:eastAsia="Calibri" w:hAnsi="Calibri"/>
          <w:color w:val="0B1220"/>
          <w:sz w:val="30"/>
          <w:szCs w:val="30"/>
        </w:rPr>
        <w:t xml:space="preserve">Architecture, Scraping &amp; Go-to-Market Plan</w:t>
      </w:r>
    </w:p>
    <w:p>
      <w:pPr>
        <w:spacing w:after="600"/>
      </w:pPr>
      <w:r>
        <w:rPr>
          <w:rFonts w:ascii="Calibri" w:cs="Calibri" w:eastAsia="Calibri" w:hAnsi="Calibri"/>
          <w:i/>
          <w:iCs/>
          <w:color w:val="5B6B88"/>
          <w:sz w:val="22"/>
          <w:szCs w:val="22"/>
        </w:rPr>
        <w:t xml:space="preserve">Riga's premium rental aggregator — every listing, one place.</w:t>
      </w:r>
    </w:p>
    <w:p>
      <w:r>
        <w:rPr>
          <w:rFonts w:ascii="Calibri" w:cs="Calibri" w:eastAsia="Calibri" w:hAnsi="Calibri"/>
          <w:color w:val="5B6B88"/>
          <w:sz w:val="22"/>
          <w:szCs w:val="22"/>
        </w:rPr>
        <w:t xml:space="preserve">Prepared May 2026</w:t>
      </w:r>
    </w:p>
    <w:p>
      <w:r>
        <w:br w:type="page"/>
      </w:r>
    </w:p>
    <w:p>
      <w:pPr>
        <w:pStyle w:val="Heading1"/>
        <w:spacing w:after="180" w:before="360"/>
      </w:pPr>
      <w:r>
        <w:rPr>
          <w:rFonts w:ascii="Calibri" w:cs="Calibri" w:eastAsia="Calibri" w:hAnsi="Calibri"/>
          <w:b/>
          <w:bCs/>
          <w:color w:val="0D6B6B"/>
          <w:sz w:val="36"/>
          <w:szCs w:val="36"/>
        </w:rPr>
        <w:t xml:space="preserve">1. Executive Summary</w:t>
      </w:r>
    </w:p>
    <w:p>
      <w:pPr>
        <w:spacing w:after="120"/>
      </w:pPr>
      <w:r>
        <w:rPr>
          <w:rFonts w:ascii="Calibri" w:cs="Calibri" w:eastAsia="Calibri" w:hAnsi="Calibri"/>
          <w:sz w:val="22"/>
          <w:szCs w:val="22"/>
        </w:rPr>
        <w:t xml:space="preserve">RentRiga aggregates every rental listing in Riga from 30+ Latvian property portals into a single fast, modern, multilingual search experience. The portal solves the most painful part of renting in Riga today: there is no single source of truth, so renters open six to ten tabs and still miss listings.</w:t>
      </w:r>
    </w:p>
    <w:p>
      <w:pPr>
        <w:spacing w:after="120"/>
      </w:pPr>
      <w:r>
        <w:rPr>
          <w:rFonts w:ascii="Calibri" w:cs="Calibri" w:eastAsia="Calibri" w:hAnsi="Calibri"/>
          <w:sz w:val="22"/>
          <w:szCs w:val="22"/>
        </w:rPr>
        <w:t xml:space="preserve">This document covers the full plan — site architecture, scraping pipeline, data model, legal posture, SEO, monetization, and a phased delivery roadmap. The companion HTML demo accompanying this document shows the production-quality look, feel, and functionality of the portal.</w:t>
      </w:r>
    </w:p>
    <w:p>
      <w:pPr>
        <w:pStyle w:val="Heading3"/>
        <w:spacing w:after="80" w:before="200"/>
      </w:pPr>
      <w:r>
        <w:rPr>
          <w:rFonts w:ascii="Calibri" w:cs="Calibri" w:eastAsia="Calibri" w:hAnsi="Calibri"/>
          <w:b/>
          <w:bCs/>
          <w:color w:val="0D6B6B"/>
          <w:sz w:val="24"/>
          <w:szCs w:val="24"/>
        </w:rPr>
        <w:t xml:space="preserve">Key targets</w:t>
      </w:r>
    </w:p>
    <w:p>
      <w:pPr>
        <w:pStyle w:val="ListParagraph"/>
        <w:numPr>
          <w:ilvl w:val="0"/>
          <w:numId w:val="2"/>
        </w:numPr>
        <w:spacing w:after="60"/>
      </w:pPr>
      <w:r>
        <w:rPr>
          <w:rFonts w:ascii="Calibri" w:cs="Calibri" w:eastAsia="Calibri" w:hAnsi="Calibri"/>
          <w:sz w:val="22"/>
          <w:szCs w:val="22"/>
        </w:rPr>
        <w:t xml:space="preserve">Live coverage of ≥30 source portals updated every hour.</w:t>
      </w:r>
    </w:p>
    <w:p>
      <w:pPr>
        <w:pStyle w:val="ListParagraph"/>
        <w:numPr>
          <w:ilvl w:val="0"/>
          <w:numId w:val="2"/>
        </w:numPr>
        <w:spacing w:after="60"/>
      </w:pPr>
      <w:r>
        <w:rPr>
          <w:rFonts w:ascii="Calibri" w:cs="Calibri" w:eastAsia="Calibri" w:hAnsi="Calibri"/>
          <w:sz w:val="22"/>
          <w:szCs w:val="22"/>
        </w:rPr>
        <w:t xml:space="preserve">≥25,000 deduplicated active listings within 6 months of launch.</w:t>
      </w:r>
    </w:p>
    <w:p>
      <w:pPr>
        <w:pStyle w:val="ListParagraph"/>
        <w:numPr>
          <w:ilvl w:val="0"/>
          <w:numId w:val="2"/>
        </w:numPr>
        <w:spacing w:after="60"/>
      </w:pPr>
      <w:r>
        <w:rPr>
          <w:rFonts w:ascii="Calibri" w:cs="Calibri" w:eastAsia="Calibri" w:hAnsi="Calibri"/>
          <w:sz w:val="22"/>
          <w:szCs w:val="22"/>
        </w:rPr>
        <w:t xml:space="preserve">Page-1 Google ranking for primary Latvian, Russian, and English Riga rental queries within 9 months.</w:t>
      </w:r>
    </w:p>
    <w:p>
      <w:pPr>
        <w:pStyle w:val="ListParagraph"/>
        <w:numPr>
          <w:ilvl w:val="0"/>
          <w:numId w:val="2"/>
        </w:numPr>
        <w:spacing w:after="60"/>
      </w:pPr>
      <w:r>
        <w:rPr>
          <w:rFonts w:ascii="Calibri" w:cs="Calibri" w:eastAsia="Calibri" w:hAnsi="Calibri"/>
          <w:sz w:val="22"/>
          <w:szCs w:val="22"/>
        </w:rPr>
        <w:t xml:space="preserve">First commercial revenue (featured listings + agency pro) within 4 months of public launch.</w:t>
      </w:r>
    </w:p>
    <w:p>
      <w:pPr>
        <w:pStyle w:val="Heading1"/>
        <w:spacing w:after="180" w:before="360"/>
      </w:pPr>
      <w:r>
        <w:rPr>
          <w:rFonts w:ascii="Calibri" w:cs="Calibri" w:eastAsia="Calibri" w:hAnsi="Calibri"/>
          <w:b/>
          <w:bCs/>
          <w:color w:val="0D6B6B"/>
          <w:sz w:val="36"/>
          <w:szCs w:val="36"/>
        </w:rPr>
        <w:t xml:space="preserve">2. Source Portal Inventory</w:t>
      </w:r>
    </w:p>
    <w:p>
      <w:pPr>
        <w:spacing w:after="120"/>
      </w:pPr>
      <w:r>
        <w:rPr>
          <w:rFonts w:ascii="Calibri" w:cs="Calibri" w:eastAsia="Calibri" w:hAnsi="Calibri"/>
          <w:sz w:val="22"/>
          <w:szCs w:val="22"/>
        </w:rPr>
        <w:t xml:space="preserve">The scraping target list, prioritized P0 (must launch with) through P3 (nice-to-have). Listing counts are best-effort estimates from open observation; the actual coverage depends on each portal's own rental inventory at any given moment.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300"/>
        <w:gridCol w:w="2200"/>
        <w:gridCol w:w="1100"/>
      </w:tblGrid>
      <w:tr>
        <w:trPr>
          <w:tblHeader/>
        </w:trPr>
        <w:tc>
          <w:tcPr>
            <w:tcW w:type="dxa" w:w="6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24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Portal</w:t>
            </w:r>
          </w:p>
        </w:tc>
        <w:tc>
          <w:tcPr>
            <w:tcW w:type="dxa" w:w="23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22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Est. Riga listings</w:t>
            </w:r>
          </w:p>
        </w:tc>
        <w:tc>
          <w:tcPr>
            <w:tcW w:type="dxa" w:w="11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Priority</w:t>
            </w:r>
          </w:p>
        </w:tc>
      </w:tr>
      <w:tr>
        <w:trPr>
          <w:tblHeader w:val="false"/>
        </w:trPr>
        <w:tc>
          <w:tcPr>
            <w:tcW w:type="dxa" w:w="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1</w:t>
            </w:r>
          </w:p>
        </w:tc>
        <w:tc>
          <w:tcPr>
            <w:tcW w:type="dxa" w:w="2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ss.lv</w:t>
            </w:r>
          </w:p>
        </w:tc>
        <w:tc>
          <w:tcPr>
            <w:tcW w:type="dxa" w:w="23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Classified (huge)</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8,000+</w:t>
            </w:r>
          </w:p>
        </w:tc>
        <w:tc>
          <w:tcPr>
            <w:tcW w:type="dxa" w:w="11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P0</w:t>
            </w:r>
          </w:p>
        </w:tc>
      </w:tr>
      <w:tr>
        <w:trPr>
          <w:tblHeader w:val="false"/>
        </w:trPr>
        <w:tc>
          <w:tcPr>
            <w:tcW w:type="dxa" w:w="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2</w:t>
            </w:r>
          </w:p>
        </w:tc>
        <w:tc>
          <w:tcPr>
            <w:tcW w:type="dxa" w:w="2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city24.lv</w:t>
            </w:r>
          </w:p>
        </w:tc>
        <w:tc>
          <w:tcPr>
            <w:tcW w:type="dxa" w:w="23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 estate portal</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3,500+</w:t>
            </w:r>
          </w:p>
        </w:tc>
        <w:tc>
          <w:tcPr>
            <w:tcW w:type="dxa" w:w="11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P0</w:t>
            </w:r>
          </w:p>
        </w:tc>
      </w:tr>
      <w:tr>
        <w:trPr>
          <w:tblHeader w:val="false"/>
        </w:trPr>
        <w:tc>
          <w:tcPr>
            <w:tcW w:type="dxa" w:w="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3</w:t>
            </w:r>
          </w:p>
        </w:tc>
        <w:tc>
          <w:tcPr>
            <w:tcW w:type="dxa" w:w="2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mm.lv</w:t>
            </w:r>
          </w:p>
        </w:tc>
        <w:tc>
          <w:tcPr>
            <w:tcW w:type="dxa" w:w="23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 estate portal</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1,800+</w:t>
            </w:r>
          </w:p>
        </w:tc>
        <w:tc>
          <w:tcPr>
            <w:tcW w:type="dxa" w:w="11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P0</w:t>
            </w:r>
          </w:p>
        </w:tc>
      </w:tr>
      <w:tr>
        <w:trPr>
          <w:tblHeader w:val="false"/>
        </w:trPr>
        <w:tc>
          <w:tcPr>
            <w:tcW w:type="dxa" w:w="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4</w:t>
            </w:r>
          </w:p>
        </w:tc>
        <w:tc>
          <w:tcPr>
            <w:tcW w:type="dxa" w:w="2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varianti.lv</w:t>
            </w:r>
          </w:p>
        </w:tc>
        <w:tc>
          <w:tcPr>
            <w:tcW w:type="dxa" w:w="23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 estate portal</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1,200+</w:t>
            </w:r>
          </w:p>
        </w:tc>
        <w:tc>
          <w:tcPr>
            <w:tcW w:type="dxa" w:w="11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P0</w:t>
            </w:r>
          </w:p>
        </w:tc>
      </w:tr>
      <w:tr>
        <w:trPr>
          <w:tblHeader w:val="false"/>
        </w:trPr>
        <w:tc>
          <w:tcPr>
            <w:tcW w:type="dxa" w:w="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5</w:t>
            </w:r>
          </w:p>
        </w:tc>
        <w:tc>
          <w:tcPr>
            <w:tcW w:type="dxa" w:w="2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inch.lv</w:t>
            </w:r>
          </w:p>
        </w:tc>
        <w:tc>
          <w:tcPr>
            <w:tcW w:type="dxa" w:w="23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 estate portal</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1,000+</w:t>
            </w:r>
          </w:p>
        </w:tc>
        <w:tc>
          <w:tcPr>
            <w:tcW w:type="dxa" w:w="11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P0</w:t>
            </w:r>
          </w:p>
        </w:tc>
      </w:tr>
      <w:tr>
        <w:trPr>
          <w:tblHeader w:val="false"/>
        </w:trPr>
        <w:tc>
          <w:tcPr>
            <w:tcW w:type="dxa" w:w="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6</w:t>
            </w:r>
          </w:p>
        </w:tc>
        <w:tc>
          <w:tcPr>
            <w:tcW w:type="dxa" w:w="2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realty.lv</w:t>
            </w:r>
          </w:p>
        </w:tc>
        <w:tc>
          <w:tcPr>
            <w:tcW w:type="dxa" w:w="23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 estate portal</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900+</w:t>
            </w:r>
          </w:p>
        </w:tc>
        <w:tc>
          <w:tcPr>
            <w:tcW w:type="dxa" w:w="11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P1</w:t>
            </w:r>
          </w:p>
        </w:tc>
      </w:tr>
      <w:tr>
        <w:trPr>
          <w:tblHeader w:val="false"/>
        </w:trPr>
        <w:tc>
          <w:tcPr>
            <w:tcW w:type="dxa" w:w="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7</w:t>
            </w:r>
          </w:p>
        </w:tc>
        <w:tc>
          <w:tcPr>
            <w:tcW w:type="dxa" w:w="2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latio.lv</w:t>
            </w:r>
          </w:p>
        </w:tc>
        <w:tc>
          <w:tcPr>
            <w:tcW w:type="dxa" w:w="23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Agency (Latio)</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700+</w:t>
            </w:r>
          </w:p>
        </w:tc>
        <w:tc>
          <w:tcPr>
            <w:tcW w:type="dxa" w:w="11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P1</w:t>
            </w:r>
          </w:p>
        </w:tc>
      </w:tr>
      <w:tr>
        <w:trPr>
          <w:tblHeader w:val="false"/>
        </w:trPr>
        <w:tc>
          <w:tcPr>
            <w:tcW w:type="dxa" w:w="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8</w:t>
            </w:r>
          </w:p>
        </w:tc>
        <w:tc>
          <w:tcPr>
            <w:tcW w:type="dxa" w:w="2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ober-haus.lv</w:t>
            </w:r>
          </w:p>
        </w:tc>
        <w:tc>
          <w:tcPr>
            <w:tcW w:type="dxa" w:w="23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Agency (Ober-Haus)</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500+</w:t>
            </w:r>
          </w:p>
        </w:tc>
        <w:tc>
          <w:tcPr>
            <w:tcW w:type="dxa" w:w="11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P1</w:t>
            </w:r>
          </w:p>
        </w:tc>
      </w:tr>
      <w:tr>
        <w:trPr>
          <w:tblHeader w:val="false"/>
        </w:trPr>
        <w:tc>
          <w:tcPr>
            <w:tcW w:type="dxa" w:w="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9</w:t>
            </w:r>
          </w:p>
        </w:tc>
        <w:tc>
          <w:tcPr>
            <w:tcW w:type="dxa" w:w="2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arcoreal.lv</w:t>
            </w:r>
          </w:p>
        </w:tc>
        <w:tc>
          <w:tcPr>
            <w:tcW w:type="dxa" w:w="23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Agency</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300+</w:t>
            </w:r>
          </w:p>
        </w:tc>
        <w:tc>
          <w:tcPr>
            <w:tcW w:type="dxa" w:w="11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P1</w:t>
            </w:r>
          </w:p>
        </w:tc>
      </w:tr>
      <w:tr>
        <w:trPr>
          <w:tblHeader w:val="false"/>
        </w:trPr>
        <w:tc>
          <w:tcPr>
            <w:tcW w:type="dxa" w:w="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10</w:t>
            </w:r>
          </w:p>
        </w:tc>
        <w:tc>
          <w:tcPr>
            <w:tcW w:type="dxa" w:w="2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balticsothebysrealty.com</w:t>
            </w:r>
          </w:p>
        </w:tc>
        <w:tc>
          <w:tcPr>
            <w:tcW w:type="dxa" w:w="23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Premium agency</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200+</w:t>
            </w:r>
          </w:p>
        </w:tc>
        <w:tc>
          <w:tcPr>
            <w:tcW w:type="dxa" w:w="11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P1</w:t>
            </w:r>
          </w:p>
        </w:tc>
      </w:tr>
      <w:tr>
        <w:trPr>
          <w:tblHeader w:val="false"/>
        </w:trPr>
        <w:tc>
          <w:tcPr>
            <w:tcW w:type="dxa" w:w="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11</w:t>
            </w:r>
          </w:p>
        </w:tc>
        <w:tc>
          <w:tcPr>
            <w:tcW w:type="dxa" w:w="2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centro.lv</w:t>
            </w:r>
          </w:p>
        </w:tc>
        <w:tc>
          <w:tcPr>
            <w:tcW w:type="dxa" w:w="23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Agency</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250+</w:t>
            </w:r>
          </w:p>
        </w:tc>
        <w:tc>
          <w:tcPr>
            <w:tcW w:type="dxa" w:w="11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P2</w:t>
            </w:r>
          </w:p>
        </w:tc>
      </w:tr>
      <w:tr>
        <w:trPr>
          <w:tblHeader w:val="false"/>
        </w:trPr>
        <w:tc>
          <w:tcPr>
            <w:tcW w:type="dxa" w:w="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12</w:t>
            </w:r>
          </w:p>
        </w:tc>
        <w:tc>
          <w:tcPr>
            <w:tcW w:type="dxa" w:w="2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ipasum.lv</w:t>
            </w:r>
          </w:p>
        </w:tc>
        <w:tc>
          <w:tcPr>
            <w:tcW w:type="dxa" w:w="23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 estate portal</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400+</w:t>
            </w:r>
          </w:p>
        </w:tc>
        <w:tc>
          <w:tcPr>
            <w:tcW w:type="dxa" w:w="11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P2</w:t>
            </w:r>
          </w:p>
        </w:tc>
      </w:tr>
      <w:tr>
        <w:trPr>
          <w:tblHeader w:val="false"/>
        </w:trPr>
        <w:tc>
          <w:tcPr>
            <w:tcW w:type="dxa" w:w="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13</w:t>
            </w:r>
          </w:p>
        </w:tc>
        <w:tc>
          <w:tcPr>
            <w:tcW w:type="dxa" w:w="2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immo.lv</w:t>
            </w:r>
          </w:p>
        </w:tc>
        <w:tc>
          <w:tcPr>
            <w:tcW w:type="dxa" w:w="23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 estate portal</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350+</w:t>
            </w:r>
          </w:p>
        </w:tc>
        <w:tc>
          <w:tcPr>
            <w:tcW w:type="dxa" w:w="11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P2</w:t>
            </w:r>
          </w:p>
        </w:tc>
      </w:tr>
      <w:tr>
        <w:trPr>
          <w:tblHeader w:val="false"/>
        </w:trPr>
        <w:tc>
          <w:tcPr>
            <w:tcW w:type="dxa" w:w="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14</w:t>
            </w:r>
          </w:p>
        </w:tc>
        <w:tc>
          <w:tcPr>
            <w:tcW w:type="dxa" w:w="2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dirio.lv</w:t>
            </w:r>
          </w:p>
        </w:tc>
        <w:tc>
          <w:tcPr>
            <w:tcW w:type="dxa" w:w="23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 estate portal</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200+</w:t>
            </w:r>
          </w:p>
        </w:tc>
        <w:tc>
          <w:tcPr>
            <w:tcW w:type="dxa" w:w="11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P2</w:t>
            </w:r>
          </w:p>
        </w:tc>
      </w:tr>
      <w:tr>
        <w:trPr>
          <w:tblHeader w:val="false"/>
        </w:trPr>
        <w:tc>
          <w:tcPr>
            <w:tcW w:type="dxa" w:w="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15</w:t>
            </w:r>
          </w:p>
        </w:tc>
        <w:tc>
          <w:tcPr>
            <w:tcW w:type="dxa" w:w="2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nira.lv</w:t>
            </w:r>
          </w:p>
        </w:tc>
        <w:tc>
          <w:tcPr>
            <w:tcW w:type="dxa" w:w="23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Agency</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180+</w:t>
            </w:r>
          </w:p>
        </w:tc>
        <w:tc>
          <w:tcPr>
            <w:tcW w:type="dxa" w:w="11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P2</w:t>
            </w:r>
          </w:p>
        </w:tc>
      </w:tr>
      <w:tr>
        <w:trPr>
          <w:tblHeader w:val="false"/>
        </w:trPr>
        <w:tc>
          <w:tcPr>
            <w:tcW w:type="dxa" w:w="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16</w:t>
            </w:r>
          </w:p>
        </w:tc>
        <w:tc>
          <w:tcPr>
            <w:tcW w:type="dxa" w:w="2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olx.lv</w:t>
            </w:r>
          </w:p>
        </w:tc>
        <w:tc>
          <w:tcPr>
            <w:tcW w:type="dxa" w:w="23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Classified</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600+</w:t>
            </w:r>
          </w:p>
        </w:tc>
        <w:tc>
          <w:tcPr>
            <w:tcW w:type="dxa" w:w="11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P2</w:t>
            </w:r>
          </w:p>
        </w:tc>
      </w:tr>
      <w:tr>
        <w:trPr>
          <w:tblHeader w:val="false"/>
        </w:trPr>
        <w:tc>
          <w:tcPr>
            <w:tcW w:type="dxa" w:w="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17</w:t>
            </w:r>
          </w:p>
        </w:tc>
        <w:tc>
          <w:tcPr>
            <w:tcW w:type="dxa" w:w="2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zip.lv</w:t>
            </w:r>
          </w:p>
        </w:tc>
        <w:tc>
          <w:tcPr>
            <w:tcW w:type="dxa" w:w="23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Local portal</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200+</w:t>
            </w:r>
          </w:p>
        </w:tc>
        <w:tc>
          <w:tcPr>
            <w:tcW w:type="dxa" w:w="11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P2</w:t>
            </w:r>
          </w:p>
        </w:tc>
      </w:tr>
      <w:tr>
        <w:trPr>
          <w:tblHeader w:val="false"/>
        </w:trPr>
        <w:tc>
          <w:tcPr>
            <w:tcW w:type="dxa" w:w="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18</w:t>
            </w:r>
          </w:p>
        </w:tc>
        <w:tc>
          <w:tcPr>
            <w:tcW w:type="dxa" w:w="2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building.lv</w:t>
            </w:r>
          </w:p>
        </w:tc>
        <w:tc>
          <w:tcPr>
            <w:tcW w:type="dxa" w:w="23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Commercial focus</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150+</w:t>
            </w:r>
          </w:p>
        </w:tc>
        <w:tc>
          <w:tcPr>
            <w:tcW w:type="dxa" w:w="11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P2</w:t>
            </w:r>
          </w:p>
        </w:tc>
      </w:tr>
      <w:tr>
        <w:trPr>
          <w:tblHeader w:val="false"/>
        </w:trPr>
        <w:tc>
          <w:tcPr>
            <w:tcW w:type="dxa" w:w="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19</w:t>
            </w:r>
          </w:p>
        </w:tc>
        <w:tc>
          <w:tcPr>
            <w:tcW w:type="dxa" w:w="2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estate.lv</w:t>
            </w:r>
          </w:p>
        </w:tc>
        <w:tc>
          <w:tcPr>
            <w:tcW w:type="dxa" w:w="23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 estate portal</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120+</w:t>
            </w:r>
          </w:p>
        </w:tc>
        <w:tc>
          <w:tcPr>
            <w:tcW w:type="dxa" w:w="11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P2</w:t>
            </w:r>
          </w:p>
        </w:tc>
      </w:tr>
      <w:tr>
        <w:trPr>
          <w:tblHeader w:val="false"/>
        </w:trPr>
        <w:tc>
          <w:tcPr>
            <w:tcW w:type="dxa" w:w="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20</w:t>
            </w:r>
          </w:p>
        </w:tc>
        <w:tc>
          <w:tcPr>
            <w:tcW w:type="dxa" w:w="2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kvartira.lv</w:t>
            </w:r>
          </w:p>
        </w:tc>
        <w:tc>
          <w:tcPr>
            <w:tcW w:type="dxa" w:w="23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Rentals focus</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300+</w:t>
            </w:r>
          </w:p>
        </w:tc>
        <w:tc>
          <w:tcPr>
            <w:tcW w:type="dxa" w:w="11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P2</w:t>
            </w:r>
          </w:p>
        </w:tc>
      </w:tr>
      <w:tr>
        <w:trPr>
          <w:tblHeader w:val="false"/>
        </w:trPr>
        <w:tc>
          <w:tcPr>
            <w:tcW w:type="dxa" w:w="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21</w:t>
            </w:r>
          </w:p>
        </w:tc>
        <w:tc>
          <w:tcPr>
            <w:tcW w:type="dxa" w:w="2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domus.lv</w:t>
            </w:r>
          </w:p>
        </w:tc>
        <w:tc>
          <w:tcPr>
            <w:tcW w:type="dxa" w:w="23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 estate portal</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200+</w:t>
            </w:r>
          </w:p>
        </w:tc>
        <w:tc>
          <w:tcPr>
            <w:tcW w:type="dxa" w:w="11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P3</w:t>
            </w:r>
          </w:p>
        </w:tc>
      </w:tr>
      <w:tr>
        <w:trPr>
          <w:tblHeader w:val="false"/>
        </w:trPr>
        <w:tc>
          <w:tcPr>
            <w:tcW w:type="dxa" w:w="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22</w:t>
            </w:r>
          </w:p>
        </w:tc>
        <w:tc>
          <w:tcPr>
            <w:tcW w:type="dxa" w:w="2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real.lv</w:t>
            </w:r>
          </w:p>
        </w:tc>
        <w:tc>
          <w:tcPr>
            <w:tcW w:type="dxa" w:w="23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 estate portal</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150+</w:t>
            </w:r>
          </w:p>
        </w:tc>
        <w:tc>
          <w:tcPr>
            <w:tcW w:type="dxa" w:w="11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P3</w:t>
            </w:r>
          </w:p>
        </w:tc>
      </w:tr>
      <w:tr>
        <w:trPr>
          <w:tblHeader w:val="false"/>
        </w:trPr>
        <w:tc>
          <w:tcPr>
            <w:tcW w:type="dxa" w:w="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23</w:t>
            </w:r>
          </w:p>
        </w:tc>
        <w:tc>
          <w:tcPr>
            <w:tcW w:type="dxa" w:w="2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envent.lv</w:t>
            </w:r>
          </w:p>
        </w:tc>
        <w:tc>
          <w:tcPr>
            <w:tcW w:type="dxa" w:w="23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Agency</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150+</w:t>
            </w:r>
          </w:p>
        </w:tc>
        <w:tc>
          <w:tcPr>
            <w:tcW w:type="dxa" w:w="11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P3</w:t>
            </w:r>
          </w:p>
        </w:tc>
      </w:tr>
      <w:tr>
        <w:trPr>
          <w:tblHeader w:val="false"/>
        </w:trPr>
        <w:tc>
          <w:tcPr>
            <w:tcW w:type="dxa" w:w="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24</w:t>
            </w:r>
          </w:p>
        </w:tc>
        <w:tc>
          <w:tcPr>
            <w:tcW w:type="dxa" w:w="2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property24.lv</w:t>
            </w:r>
          </w:p>
        </w:tc>
        <w:tc>
          <w:tcPr>
            <w:tcW w:type="dxa" w:w="23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 estate portal</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180+</w:t>
            </w:r>
          </w:p>
        </w:tc>
        <w:tc>
          <w:tcPr>
            <w:tcW w:type="dxa" w:w="11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P3</w:t>
            </w:r>
          </w:p>
        </w:tc>
      </w:tr>
      <w:tr>
        <w:trPr>
          <w:tblHeader w:val="false"/>
        </w:trPr>
        <w:tc>
          <w:tcPr>
            <w:tcW w:type="dxa" w:w="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25</w:t>
            </w:r>
          </w:p>
        </w:tc>
        <w:tc>
          <w:tcPr>
            <w:tcW w:type="dxa" w:w="2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bb.lv</w:t>
            </w:r>
          </w:p>
        </w:tc>
        <w:tc>
          <w:tcPr>
            <w:tcW w:type="dxa" w:w="23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Local portal / news</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100+</w:t>
            </w:r>
          </w:p>
        </w:tc>
        <w:tc>
          <w:tcPr>
            <w:tcW w:type="dxa" w:w="11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P3</w:t>
            </w:r>
          </w:p>
        </w:tc>
      </w:tr>
      <w:tr>
        <w:trPr>
          <w:tblHeader w:val="false"/>
        </w:trPr>
        <w:tc>
          <w:tcPr>
            <w:tcW w:type="dxa" w:w="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26</w:t>
            </w:r>
          </w:p>
        </w:tc>
        <w:tc>
          <w:tcPr>
            <w:tcW w:type="dxa" w:w="2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ipasums.com</w:t>
            </w:r>
          </w:p>
        </w:tc>
        <w:tc>
          <w:tcPr>
            <w:tcW w:type="dxa" w:w="23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 estate portal</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120+</w:t>
            </w:r>
          </w:p>
        </w:tc>
        <w:tc>
          <w:tcPr>
            <w:tcW w:type="dxa" w:w="11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P3</w:t>
            </w:r>
          </w:p>
        </w:tc>
      </w:tr>
      <w:tr>
        <w:trPr>
          <w:tblHeader w:val="false"/>
        </w:trPr>
        <w:tc>
          <w:tcPr>
            <w:tcW w:type="dxa" w:w="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27</w:t>
            </w:r>
          </w:p>
        </w:tc>
        <w:tc>
          <w:tcPr>
            <w:tcW w:type="dxa" w:w="2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anyplace.lv</w:t>
            </w:r>
          </w:p>
        </w:tc>
        <w:tc>
          <w:tcPr>
            <w:tcW w:type="dxa" w:w="23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Short-term</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150+</w:t>
            </w:r>
          </w:p>
        </w:tc>
        <w:tc>
          <w:tcPr>
            <w:tcW w:type="dxa" w:w="11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P3</w:t>
            </w:r>
          </w:p>
        </w:tc>
      </w:tr>
      <w:tr>
        <w:trPr>
          <w:tblHeader w:val="false"/>
        </w:trPr>
        <w:tc>
          <w:tcPr>
            <w:tcW w:type="dxa" w:w="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28</w:t>
            </w:r>
          </w:p>
        </w:tc>
        <w:tc>
          <w:tcPr>
            <w:tcW w:type="dxa" w:w="2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homes.lv</w:t>
            </w:r>
          </w:p>
        </w:tc>
        <w:tc>
          <w:tcPr>
            <w:tcW w:type="dxa" w:w="23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Real estate portal</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100+</w:t>
            </w:r>
          </w:p>
        </w:tc>
        <w:tc>
          <w:tcPr>
            <w:tcW w:type="dxa" w:w="11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P3</w:t>
            </w:r>
          </w:p>
        </w:tc>
      </w:tr>
      <w:tr>
        <w:trPr>
          <w:tblHeader w:val="false"/>
        </w:trPr>
        <w:tc>
          <w:tcPr>
            <w:tcW w:type="dxa" w:w="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29</w:t>
            </w:r>
          </w:p>
        </w:tc>
        <w:tc>
          <w:tcPr>
            <w:tcW w:type="dxa" w:w="2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rigarent.lv</w:t>
            </w:r>
          </w:p>
        </w:tc>
        <w:tc>
          <w:tcPr>
            <w:tcW w:type="dxa" w:w="23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Short-term</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200+</w:t>
            </w:r>
          </w:p>
        </w:tc>
        <w:tc>
          <w:tcPr>
            <w:tcW w:type="dxa" w:w="11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P3</w:t>
            </w:r>
          </w:p>
        </w:tc>
      </w:tr>
      <w:tr>
        <w:trPr>
          <w:tblHeader w:val="false"/>
        </w:trPr>
        <w:tc>
          <w:tcPr>
            <w:tcW w:type="dxa" w:w="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30</w:t>
            </w:r>
          </w:p>
        </w:tc>
        <w:tc>
          <w:tcPr>
            <w:tcW w:type="dxa" w:w="2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Airbnb / Booking (API)</w:t>
            </w:r>
          </w:p>
        </w:tc>
        <w:tc>
          <w:tcPr>
            <w:tcW w:type="dxa" w:w="23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Short-term</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2,000+</w:t>
            </w:r>
          </w:p>
        </w:tc>
        <w:tc>
          <w:tcPr>
            <w:tcW w:type="dxa" w:w="11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P3</w:t>
            </w:r>
          </w:p>
        </w:tc>
      </w:tr>
    </w:tbl>
    <w:p>
      <w:pPr>
        <w:spacing w:after="120"/>
      </w:pPr>
      <w:r>
        <w:rPr>
          <w:rFonts w:ascii="Calibri" w:cs="Calibri" w:eastAsia="Calibri" w:hAnsi="Calibri"/>
          <w:sz w:val="22"/>
          <w:szCs w:val="22"/>
        </w:rPr>
        <w:t xml:space="preserve"> </w:t>
      </w:r>
    </w:p>
    <w:p>
      <w:pPr>
        <w:pStyle w:val="Heading3"/>
        <w:spacing w:after="80" w:before="200"/>
      </w:pPr>
      <w:r>
        <w:rPr>
          <w:rFonts w:ascii="Calibri" w:cs="Calibri" w:eastAsia="Calibri" w:hAnsi="Calibri"/>
          <w:b/>
          <w:bCs/>
          <w:color w:val="0D6B6B"/>
          <w:sz w:val="24"/>
          <w:szCs w:val="24"/>
        </w:rPr>
        <w:t xml:space="preserve">Coverage priorities explained</w:t>
      </w:r>
    </w:p>
    <w:p>
      <w:pPr>
        <w:pStyle w:val="ListParagraph"/>
        <w:numPr>
          <w:ilvl w:val="0"/>
          <w:numId w:val="2"/>
        </w:numPr>
        <w:spacing w:after="60"/>
      </w:pPr>
      <w:r>
        <w:rPr>
          <w:rFonts w:ascii="Calibri" w:cs="Calibri" w:eastAsia="Calibri" w:hAnsi="Calibri"/>
          <w:sz w:val="22"/>
          <w:szCs w:val="22"/>
        </w:rPr>
        <w:t xml:space="preserve">P0 portals deliver ~85% of Riga's active rental supply between them. Launch is gated on these working reliably.</w:t>
      </w:r>
    </w:p>
    <w:p>
      <w:pPr>
        <w:pStyle w:val="ListParagraph"/>
        <w:numPr>
          <w:ilvl w:val="0"/>
          <w:numId w:val="2"/>
        </w:numPr>
        <w:spacing w:after="60"/>
      </w:pPr>
      <w:r>
        <w:rPr>
          <w:rFonts w:ascii="Calibri" w:cs="Calibri" w:eastAsia="Calibri" w:hAnsi="Calibri"/>
          <w:sz w:val="22"/>
          <w:szCs w:val="22"/>
        </w:rPr>
        <w:t xml:space="preserve">P1 adds agency-only inventory (Latio, Ober-Haus, Baltic Sotheby's) — important for the premium segment and brand credibility.</w:t>
      </w:r>
    </w:p>
    <w:p>
      <w:pPr>
        <w:pStyle w:val="ListParagraph"/>
        <w:numPr>
          <w:ilvl w:val="0"/>
          <w:numId w:val="2"/>
        </w:numPr>
        <w:spacing w:after="60"/>
      </w:pPr>
      <w:r>
        <w:rPr>
          <w:rFonts w:ascii="Calibri" w:cs="Calibri" w:eastAsia="Calibri" w:hAnsi="Calibri"/>
          <w:sz w:val="22"/>
          <w:szCs w:val="22"/>
        </w:rPr>
        <w:t xml:space="preserve">P2 portals provide marginal supply but boost SEO via additional source diversity.</w:t>
      </w:r>
    </w:p>
    <w:p>
      <w:pPr>
        <w:pStyle w:val="ListParagraph"/>
        <w:numPr>
          <w:ilvl w:val="0"/>
          <w:numId w:val="2"/>
        </w:numPr>
        <w:spacing w:after="60"/>
      </w:pPr>
      <w:r>
        <w:rPr>
          <w:rFonts w:ascii="Calibri" w:cs="Calibri" w:eastAsia="Calibri" w:hAnsi="Calibri"/>
          <w:sz w:val="22"/>
          <w:szCs w:val="22"/>
        </w:rPr>
        <w:t xml:space="preserve">P3 includes Airbnb/Booking, which have official APIs and partner programs and should be handled via those, not scraping.</w:t>
      </w:r>
    </w:p>
    <w:p>
      <w:pPr>
        <w:pStyle w:val="Heading1"/>
        <w:spacing w:after="180" w:before="360"/>
      </w:pPr>
      <w:r>
        <w:rPr>
          <w:rFonts w:ascii="Calibri" w:cs="Calibri" w:eastAsia="Calibri" w:hAnsi="Calibri"/>
          <w:b/>
          <w:bCs/>
          <w:color w:val="0D6B6B"/>
          <w:sz w:val="36"/>
          <w:szCs w:val="36"/>
        </w:rPr>
        <w:t xml:space="preserve">3. Legal &amp; Compliance</w:t>
      </w:r>
    </w:p>
    <w:p>
      <w:pPr>
        <w:spacing w:after="120"/>
      </w:pPr>
      <w:r>
        <w:rPr>
          <w:rFonts w:ascii="Calibri" w:cs="Calibri" w:eastAsia="Calibri" w:hAnsi="Calibri"/>
          <w:sz w:val="22"/>
          <w:szCs w:val="22"/>
        </w:rPr>
        <w:t xml:space="preserve">Aggregation is a viable business in the EU but only if executed with care. This section is not legal advice — engage a Latvian IT/IP lawyer before launch — but lays out the posture that has worked for similar aggregators (e.g. Idealista, Immowelt, Rentola).</w:t>
      </w:r>
    </w:p>
    <w:p>
      <w:pPr>
        <w:pStyle w:val="Heading3"/>
        <w:spacing w:after="80" w:before="200"/>
      </w:pPr>
      <w:r>
        <w:rPr>
          <w:rFonts w:ascii="Calibri" w:cs="Calibri" w:eastAsia="Calibri" w:hAnsi="Calibri"/>
          <w:b/>
          <w:bCs/>
          <w:color w:val="0D6B6B"/>
          <w:sz w:val="24"/>
          <w:szCs w:val="24"/>
        </w:rPr>
        <w:t xml:space="preserve">3.1 Web scraping and the EU</w:t>
      </w:r>
    </w:p>
    <w:p>
      <w:pPr>
        <w:spacing w:after="120"/>
      </w:pPr>
      <w:r>
        <w:rPr>
          <w:rFonts w:ascii="Calibri" w:cs="Calibri" w:eastAsia="Calibri" w:hAnsi="Calibri"/>
          <w:sz w:val="22"/>
          <w:szCs w:val="22"/>
        </w:rPr>
        <w:t xml:space="preserve">Scraping publicly available data in the EU is lawful in principle, but constrained by: (1) the source's Terms of Service — many forbid automated access; (2) the EU Database Directive (96/9/EC), which protects 'substantial investment' in databases; (3) the GDPR, where listings contain personal data such as landlord phone numbers.</w:t>
      </w:r>
    </w:p>
    <w:p>
      <w:pPr>
        <w:pStyle w:val="Heading3"/>
        <w:spacing w:after="80" w:before="200"/>
      </w:pPr>
      <w:r>
        <w:rPr>
          <w:rFonts w:ascii="Calibri" w:cs="Calibri" w:eastAsia="Calibri" w:hAnsi="Calibri"/>
          <w:b/>
          <w:bCs/>
          <w:color w:val="0D6B6B"/>
          <w:sz w:val="24"/>
          <w:szCs w:val="24"/>
        </w:rPr>
        <w:t xml:space="preserve">3.2 The aggregator playbook</w:t>
      </w:r>
    </w:p>
    <w:p>
      <w:pPr>
        <w:pStyle w:val="ListParagraph"/>
        <w:numPr>
          <w:ilvl w:val="0"/>
          <w:numId w:val="2"/>
        </w:numPr>
        <w:spacing w:after="60"/>
      </w:pPr>
      <w:r>
        <w:rPr>
          <w:rFonts w:ascii="Calibri" w:cs="Calibri" w:eastAsia="Calibri" w:hAnsi="Calibri"/>
          <w:sz w:val="22"/>
          <w:szCs w:val="22"/>
        </w:rPr>
        <w:t xml:space="preserve">Respect robots.txt and reasonable rate limits (target: &lt;0.5 requests/second per source).</w:t>
      </w:r>
    </w:p>
    <w:p>
      <w:pPr>
        <w:pStyle w:val="ListParagraph"/>
        <w:numPr>
          <w:ilvl w:val="0"/>
          <w:numId w:val="2"/>
        </w:numPr>
        <w:spacing w:after="60"/>
      </w:pPr>
      <w:r>
        <w:rPr>
          <w:rFonts w:ascii="Calibri" w:cs="Calibri" w:eastAsia="Calibri" w:hAnsi="Calibri"/>
          <w:sz w:val="22"/>
          <w:szCs w:val="22"/>
        </w:rPr>
        <w:t xml:space="preserve">Identify the crawler honestly with a User-Agent and a contact email — surprisingly often, portals respond with a partnership offer instead of a block.</w:t>
      </w:r>
    </w:p>
    <w:p>
      <w:pPr>
        <w:pStyle w:val="ListParagraph"/>
        <w:numPr>
          <w:ilvl w:val="0"/>
          <w:numId w:val="2"/>
        </w:numPr>
        <w:spacing w:after="60"/>
      </w:pPr>
      <w:r>
        <w:rPr>
          <w:rFonts w:ascii="Calibri" w:cs="Calibri" w:eastAsia="Calibri" w:hAnsi="Calibri"/>
          <w:sz w:val="22"/>
          <w:szCs w:val="22"/>
        </w:rPr>
        <w:t xml:space="preserve">Show abstracts (≤200 characters of original description) plus 1–3 images, not the full content. Always link prominently to the source for the full listing.</w:t>
      </w:r>
    </w:p>
    <w:p>
      <w:pPr>
        <w:pStyle w:val="ListParagraph"/>
        <w:numPr>
          <w:ilvl w:val="0"/>
          <w:numId w:val="2"/>
        </w:numPr>
        <w:spacing w:after="60"/>
      </w:pPr>
      <w:r>
        <w:rPr>
          <w:rFonts w:ascii="Calibri" w:cs="Calibri" w:eastAsia="Calibri" w:hAnsi="Calibri"/>
          <w:sz w:val="22"/>
          <w:szCs w:val="22"/>
        </w:rPr>
        <w:t xml:space="preserve">Mirror images to our CDN with on-image attribution badges. This protects users if the source removes the listing, while keeping copyright posture defensible.</w:t>
      </w:r>
    </w:p>
    <w:p>
      <w:pPr>
        <w:pStyle w:val="ListParagraph"/>
        <w:numPr>
          <w:ilvl w:val="0"/>
          <w:numId w:val="2"/>
        </w:numPr>
        <w:spacing w:after="60"/>
      </w:pPr>
      <w:r>
        <w:rPr>
          <w:rFonts w:ascii="Calibri" w:cs="Calibri" w:eastAsia="Calibri" w:hAnsi="Calibri"/>
          <w:sz w:val="22"/>
          <w:szCs w:val="22"/>
        </w:rPr>
        <w:t xml:space="preserve">Implement a one-click DMCA-style takedown form. Aim for &lt;24h response.</w:t>
      </w:r>
    </w:p>
    <w:p>
      <w:pPr>
        <w:pStyle w:val="ListParagraph"/>
        <w:numPr>
          <w:ilvl w:val="0"/>
          <w:numId w:val="2"/>
        </w:numPr>
        <w:spacing w:after="60"/>
      </w:pPr>
      <w:r>
        <w:rPr>
          <w:rFonts w:ascii="Calibri" w:cs="Calibri" w:eastAsia="Calibri" w:hAnsi="Calibri"/>
          <w:sz w:val="22"/>
          <w:szCs w:val="22"/>
        </w:rPr>
        <w:t xml:space="preserve">Mask contact details. Route renter enquiries through our forwarding form so we never publish landlord phone numbers.</w:t>
      </w:r>
    </w:p>
    <w:p>
      <w:pPr>
        <w:pStyle w:val="Heading3"/>
        <w:spacing w:after="80" w:before="200"/>
      </w:pPr>
      <w:r>
        <w:rPr>
          <w:rFonts w:ascii="Calibri" w:cs="Calibri" w:eastAsia="Calibri" w:hAnsi="Calibri"/>
          <w:b/>
          <w:bCs/>
          <w:color w:val="0D6B6B"/>
          <w:sz w:val="24"/>
          <w:szCs w:val="24"/>
        </w:rPr>
        <w:t xml:space="preserve">3.3 GDPR</w:t>
      </w:r>
    </w:p>
    <w:p>
      <w:pPr>
        <w:pStyle w:val="ListParagraph"/>
        <w:numPr>
          <w:ilvl w:val="0"/>
          <w:numId w:val="2"/>
        </w:numPr>
        <w:spacing w:after="60"/>
      </w:pPr>
      <w:r>
        <w:rPr>
          <w:rFonts w:ascii="Calibri" w:cs="Calibri" w:eastAsia="Calibri" w:hAnsi="Calibri"/>
          <w:sz w:val="22"/>
          <w:szCs w:val="22"/>
        </w:rPr>
        <w:t xml:space="preserve">Lawful basis for processing: legitimate interest (Art. 6(1)(f)) — running the aggregator. Document the balancing test.</w:t>
      </w:r>
    </w:p>
    <w:p>
      <w:pPr>
        <w:pStyle w:val="ListParagraph"/>
        <w:numPr>
          <w:ilvl w:val="0"/>
          <w:numId w:val="2"/>
        </w:numPr>
        <w:spacing w:after="60"/>
      </w:pPr>
      <w:r>
        <w:rPr>
          <w:rFonts w:ascii="Calibri" w:cs="Calibri" w:eastAsia="Calibri" w:hAnsi="Calibri"/>
          <w:sz w:val="22"/>
          <w:szCs w:val="22"/>
        </w:rPr>
        <w:t xml:space="preserve">Data minimization: do not store more personal data than necessary. Truncate or hash phone numbers.</w:t>
      </w:r>
    </w:p>
    <w:p>
      <w:pPr>
        <w:pStyle w:val="ListParagraph"/>
        <w:numPr>
          <w:ilvl w:val="0"/>
          <w:numId w:val="2"/>
        </w:numPr>
        <w:spacing w:after="60"/>
      </w:pPr>
      <w:r>
        <w:rPr>
          <w:rFonts w:ascii="Calibri" w:cs="Calibri" w:eastAsia="Calibri" w:hAnsi="Calibri"/>
          <w:sz w:val="22"/>
          <w:szCs w:val="22"/>
        </w:rPr>
        <w:t xml:space="preserve">Right to erasure: data subjects (landlords) can request deletion via the takedown form; honor within 30 days.</w:t>
      </w:r>
    </w:p>
    <w:p>
      <w:pPr>
        <w:pStyle w:val="ListParagraph"/>
        <w:numPr>
          <w:ilvl w:val="0"/>
          <w:numId w:val="2"/>
        </w:numPr>
        <w:spacing w:after="60"/>
      </w:pPr>
      <w:r>
        <w:rPr>
          <w:rFonts w:ascii="Calibri" w:cs="Calibri" w:eastAsia="Calibri" w:hAnsi="Calibri"/>
          <w:sz w:val="22"/>
          <w:szCs w:val="22"/>
        </w:rPr>
        <w:t xml:space="preserve">Data retention: hard-delete listings 90 days after they go inactive.</w:t>
      </w:r>
    </w:p>
    <w:p>
      <w:pPr>
        <w:pStyle w:val="ListParagraph"/>
        <w:numPr>
          <w:ilvl w:val="0"/>
          <w:numId w:val="2"/>
        </w:numPr>
        <w:spacing w:after="60"/>
      </w:pPr>
      <w:r>
        <w:rPr>
          <w:rFonts w:ascii="Calibri" w:cs="Calibri" w:eastAsia="Calibri" w:hAnsi="Calibri"/>
          <w:sz w:val="22"/>
          <w:szCs w:val="22"/>
        </w:rPr>
        <w:t xml:space="preserve">Appoint a Data Protection Officer (Latvia's DVI requires this for large-scale processing — RentRiga qualifies once at scale).</w:t>
      </w:r>
    </w:p>
    <w:p>
      <w:pPr>
        <w:pStyle w:val="Heading3"/>
        <w:spacing w:after="80" w:before="200"/>
      </w:pPr>
      <w:r>
        <w:rPr>
          <w:rFonts w:ascii="Calibri" w:cs="Calibri" w:eastAsia="Calibri" w:hAnsi="Calibri"/>
          <w:b/>
          <w:bCs/>
          <w:color w:val="0D6B6B"/>
          <w:sz w:val="24"/>
          <w:szCs w:val="24"/>
        </w:rPr>
        <w:t xml:space="preserve">3.4 Partnerships over confrontation</w:t>
      </w:r>
    </w:p>
    <w:p>
      <w:pPr>
        <w:spacing w:after="120"/>
      </w:pPr>
      <w:r>
        <w:rPr>
          <w:rFonts w:ascii="Calibri" w:cs="Calibri" w:eastAsia="Calibri" w:hAnsi="Calibri"/>
          <w:sz w:val="22"/>
          <w:szCs w:val="22"/>
        </w:rPr>
        <w:t xml:space="preserve">The cheapest, most resilient path is a paid data-feed agreement with the major portals. Latvia is a small market — there is a realistic chance of negotiating direct feeds with city24.lv, mm.lv, latio.lv, and ober-haus.lv once RentRiga has visible traffic. The interim strategy is: scrape politely, attribute generously, then convert each scraped source into a partner.</w:t>
      </w:r>
    </w:p>
    <w:p>
      <w:pPr>
        <w:pStyle w:val="Heading1"/>
        <w:spacing w:after="180" w:before="360"/>
      </w:pPr>
      <w:r>
        <w:rPr>
          <w:rFonts w:ascii="Calibri" w:cs="Calibri" w:eastAsia="Calibri" w:hAnsi="Calibri"/>
          <w:b/>
          <w:bCs/>
          <w:color w:val="0D6B6B"/>
          <w:sz w:val="36"/>
          <w:szCs w:val="36"/>
        </w:rPr>
        <w:t xml:space="preserve">4. Technical Architecture</w:t>
      </w:r>
    </w:p>
    <w:p>
      <w:pPr>
        <w:pStyle w:val="Heading3"/>
        <w:spacing w:after="80" w:before="200"/>
      </w:pPr>
      <w:r>
        <w:rPr>
          <w:rFonts w:ascii="Calibri" w:cs="Calibri" w:eastAsia="Calibri" w:hAnsi="Calibri"/>
          <w:b/>
          <w:bCs/>
          <w:color w:val="0D6B6B"/>
          <w:sz w:val="24"/>
          <w:szCs w:val="24"/>
        </w:rPr>
        <w:t xml:space="preserve">4.1 High-level system</w:t>
      </w:r>
    </w:p>
    <w:p>
      <w:pPr>
        <w:spacing w:after="120"/>
      </w:pPr>
      <w:r>
        <w:rPr>
          <w:rFonts w:ascii="Calibri" w:cs="Calibri" w:eastAsia="Calibri" w:hAnsi="Calibri"/>
          <w:sz w:val="22"/>
          <w:szCs w:val="22"/>
        </w:rPr>
        <w:t xml:space="preserve">Six logical components: (a) the scraper fleet, (b) the normalization / dedup pipeline, (c) the canonical PostgreSQL database, (d) the Meilisearch index for fast search, (e) the Next.js frontend, and (f) the Node/Python API layer the frontend talks to.</w:t>
      </w:r>
    </w:p>
    <w:p>
      <w:pPr>
        <w:pStyle w:val="Heading3"/>
        <w:spacing w:after="80" w:before="200"/>
      </w:pPr>
      <w:r>
        <w:rPr>
          <w:rFonts w:ascii="Calibri" w:cs="Calibri" w:eastAsia="Calibri" w:hAnsi="Calibri"/>
          <w:b/>
          <w:bCs/>
          <w:color w:val="0D6B6B"/>
          <w:sz w:val="24"/>
          <w:szCs w:val="24"/>
        </w:rPr>
        <w:t xml:space="preserve">4.2 Recommended stack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3900"/>
      </w:tblGrid>
      <w:tr>
        <w:trPr>
          <w:tblHeader/>
        </w:trPr>
        <w:tc>
          <w:tcPr>
            <w:tcW w:type="dxa" w:w="19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Layer</w:t>
            </w:r>
          </w:p>
        </w:tc>
        <w:tc>
          <w:tcPr>
            <w:tcW w:type="dxa" w:w="28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Recommendation</w:t>
            </w:r>
          </w:p>
        </w:tc>
        <w:tc>
          <w:tcPr>
            <w:tcW w:type="dxa" w:w="39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Why</w:t>
            </w:r>
          </w:p>
        </w:tc>
      </w:tr>
      <w:tr>
        <w:trPr>
          <w:tblHeader w:val="false"/>
        </w:trPr>
        <w:tc>
          <w:tcPr>
            <w:tcW w:type="dxa" w:w="1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Frontend</w:t>
            </w:r>
          </w:p>
        </w:tc>
        <w:tc>
          <w:tcPr>
            <w:tcW w:type="dxa" w:w="28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Next.js 14 (App Router) + Tailwind + shadcn/ui</w:t>
            </w:r>
          </w:p>
        </w:tc>
        <w:tc>
          <w:tcPr>
            <w:tcW w:type="dxa" w:w="3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SSR for SEO, static caching, easy multi-language routing /en /lv /ru, fast CDN delivery.</w:t>
            </w:r>
          </w:p>
        </w:tc>
      </w:tr>
      <w:tr>
        <w:trPr>
          <w:tblHeader w:val="false"/>
        </w:trPr>
        <w:tc>
          <w:tcPr>
            <w:tcW w:type="dxa" w:w="1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Search</w:t>
            </w:r>
          </w:p>
        </w:tc>
        <w:tc>
          <w:tcPr>
            <w:tcW w:type="dxa" w:w="28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Meilisearch (or Algolia)</w:t>
            </w:r>
          </w:p>
        </w:tc>
        <w:tc>
          <w:tcPr>
            <w:tcW w:type="dxa" w:w="3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Sub-50ms typo-tolerant search across listings, with filters and geo. Self-host Meilisearch on a small VM to control costs.</w:t>
            </w:r>
          </w:p>
        </w:tc>
      </w:tr>
      <w:tr>
        <w:trPr>
          <w:tblHeader w:val="false"/>
        </w:trPr>
        <w:tc>
          <w:tcPr>
            <w:tcW w:type="dxa" w:w="1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Map</w:t>
            </w:r>
          </w:p>
        </w:tc>
        <w:tc>
          <w:tcPr>
            <w:tcW w:type="dxa" w:w="28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MapLibre GL + OpenMapTiles (self-hosted) or Mapbox</w:t>
            </w:r>
          </w:p>
        </w:tc>
        <w:tc>
          <w:tcPr>
            <w:tcW w:type="dxa" w:w="3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No vendor lock-in if self-hosted. Mapbox if you prefer turnkey + nicer styling out of the box.</w:t>
            </w:r>
          </w:p>
        </w:tc>
      </w:tr>
      <w:tr>
        <w:trPr>
          <w:tblHeader w:val="false"/>
        </w:trPr>
        <w:tc>
          <w:tcPr>
            <w:tcW w:type="dxa" w:w="1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Backend / API</w:t>
            </w:r>
          </w:p>
        </w:tc>
        <w:tc>
          <w:tcPr>
            <w:tcW w:type="dxa" w:w="28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Node.js (Fastify) or Python (FastAPI)</w:t>
            </w:r>
          </w:p>
        </w:tc>
        <w:tc>
          <w:tcPr>
            <w:tcW w:type="dxa" w:w="3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Either works. Node if frontend devs own everything; Python if scraping team owns the API.</w:t>
            </w:r>
          </w:p>
        </w:tc>
      </w:tr>
      <w:tr>
        <w:trPr>
          <w:tblHeader w:val="false"/>
        </w:trPr>
        <w:tc>
          <w:tcPr>
            <w:tcW w:type="dxa" w:w="1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Database</w:t>
            </w:r>
          </w:p>
        </w:tc>
        <w:tc>
          <w:tcPr>
            <w:tcW w:type="dxa" w:w="28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PostgreSQL 16 + PostGIS</w:t>
            </w:r>
          </w:p>
        </w:tc>
        <w:tc>
          <w:tcPr>
            <w:tcW w:type="dxa" w:w="3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Geospatial queries (radius search), JSONB for amenities, mature, cheap to host.</w:t>
            </w:r>
          </w:p>
        </w:tc>
      </w:tr>
      <w:tr>
        <w:trPr>
          <w:tblHeader w:val="false"/>
        </w:trPr>
        <w:tc>
          <w:tcPr>
            <w:tcW w:type="dxa" w:w="1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Cache / Queue</w:t>
            </w:r>
          </w:p>
        </w:tc>
        <w:tc>
          <w:tcPr>
            <w:tcW w:type="dxa" w:w="28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Redis + BullMQ (Node) or RQ/Celery (Python)</w:t>
            </w:r>
          </w:p>
        </w:tc>
        <w:tc>
          <w:tcPr>
            <w:tcW w:type="dxa" w:w="3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Scrape jobs, dedup tasks, image processing, email queueing.</w:t>
            </w:r>
          </w:p>
        </w:tc>
      </w:tr>
      <w:tr>
        <w:trPr>
          <w:tblHeader w:val="false"/>
        </w:trPr>
        <w:tc>
          <w:tcPr>
            <w:tcW w:type="dxa" w:w="1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Scraping</w:t>
            </w:r>
          </w:p>
        </w:tc>
        <w:tc>
          <w:tcPr>
            <w:tcW w:type="dxa" w:w="28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Playwright + Python (Scrapy where HTML is static)</w:t>
            </w:r>
          </w:p>
        </w:tc>
        <w:tc>
          <w:tcPr>
            <w:tcW w:type="dxa" w:w="3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Playwright for JS-rendered sites (city24, modern agencies); Scrapy for high-volume static (ss.lv) — fastest and cheapest.</w:t>
            </w:r>
          </w:p>
        </w:tc>
      </w:tr>
      <w:tr>
        <w:trPr>
          <w:tblHeader w:val="false"/>
        </w:trPr>
        <w:tc>
          <w:tcPr>
            <w:tcW w:type="dxa" w:w="1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Image pipeline</w:t>
            </w:r>
          </w:p>
        </w:tc>
        <w:tc>
          <w:tcPr>
            <w:tcW w:type="dxa" w:w="28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Cloudflare Images or S3 + imgproxy</w:t>
            </w:r>
          </w:p>
        </w:tc>
        <w:tc>
          <w:tcPr>
            <w:tcW w:type="dxa" w:w="3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Mirror source images to our CDN (with attribution) so listings keep working even if source removes them.</w:t>
            </w:r>
          </w:p>
        </w:tc>
      </w:tr>
      <w:tr>
        <w:trPr>
          <w:tblHeader w:val="false"/>
        </w:trPr>
        <w:tc>
          <w:tcPr>
            <w:tcW w:type="dxa" w:w="1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Email</w:t>
            </w:r>
          </w:p>
        </w:tc>
        <w:tc>
          <w:tcPr>
            <w:tcW w:type="dxa" w:w="28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Postmark or Resend</w:t>
            </w:r>
          </w:p>
        </w:tc>
        <w:tc>
          <w:tcPr>
            <w:tcW w:type="dxa" w:w="3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Transactional enquiry forwarding + saved-search digests.</w:t>
            </w:r>
          </w:p>
        </w:tc>
      </w:tr>
      <w:tr>
        <w:trPr>
          <w:tblHeader w:val="false"/>
        </w:trPr>
        <w:tc>
          <w:tcPr>
            <w:tcW w:type="dxa" w:w="1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Hosting</w:t>
            </w:r>
          </w:p>
        </w:tc>
        <w:tc>
          <w:tcPr>
            <w:tcW w:type="dxa" w:w="28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Frontend on Vercel; backend on Hetzner Cloud (3–4 small VMs)</w:t>
            </w:r>
          </w:p>
        </w:tc>
        <w:tc>
          <w:tcPr>
            <w:tcW w:type="dxa" w:w="3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Vercel for global CDN + SSR; Hetzner is dramatically cheaper than AWS for the scraper fleet (≈€20–40/mo per VM).</w:t>
            </w:r>
          </w:p>
        </w:tc>
      </w:tr>
      <w:tr>
        <w:trPr>
          <w:tblHeader w:val="false"/>
        </w:trPr>
        <w:tc>
          <w:tcPr>
            <w:tcW w:type="dxa" w:w="1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Observability</w:t>
            </w:r>
          </w:p>
        </w:tc>
        <w:tc>
          <w:tcPr>
            <w:tcW w:type="dxa" w:w="28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Sentry + Grafana Cloud + Plausible</w:t>
            </w:r>
          </w:p>
        </w:tc>
        <w:tc>
          <w:tcPr>
            <w:tcW w:type="dxa" w:w="3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Errors, scrape job health, privacy-friendly analytics.</w:t>
            </w:r>
          </w:p>
        </w:tc>
      </w:tr>
      <w:tr>
        <w:trPr>
          <w:tblHeader w:val="false"/>
        </w:trPr>
        <w:tc>
          <w:tcPr>
            <w:tcW w:type="dxa" w:w="1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CI / Deploy</w:t>
            </w:r>
          </w:p>
        </w:tc>
        <w:tc>
          <w:tcPr>
            <w:tcW w:type="dxa" w:w="28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GitHub Actions + Docker + Caddy</w:t>
            </w:r>
          </w:p>
        </w:tc>
        <w:tc>
          <w:tcPr>
            <w:tcW w:type="dxa" w:w="3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Standard, low-cost, easy to onboard developers.</w:t>
            </w:r>
          </w:p>
        </w:tc>
      </w:tr>
    </w:tbl>
    <w:p>
      <w:pPr>
        <w:spacing w:after="120"/>
      </w:pPr>
      <w:r>
        <w:rPr>
          <w:rFonts w:ascii="Calibri" w:cs="Calibri" w:eastAsia="Calibri" w:hAnsi="Calibri"/>
          <w:sz w:val="22"/>
          <w:szCs w:val="22"/>
        </w:rPr>
        <w:t xml:space="preserve"> </w:t>
      </w:r>
    </w:p>
    <w:p>
      <w:pPr>
        <w:pStyle w:val="Heading3"/>
        <w:spacing w:after="80" w:before="200"/>
      </w:pPr>
      <w:r>
        <w:rPr>
          <w:rFonts w:ascii="Calibri" w:cs="Calibri" w:eastAsia="Calibri" w:hAnsi="Calibri"/>
          <w:b/>
          <w:bCs/>
          <w:color w:val="0D6B6B"/>
          <w:sz w:val="24"/>
          <w:szCs w:val="24"/>
        </w:rPr>
        <w:t xml:space="preserve">4.3 Scraping pipeline detail</w:t>
      </w:r>
    </w:p>
    <w:p>
      <w:pPr>
        <w:pStyle w:val="ListParagraph"/>
        <w:numPr>
          <w:ilvl w:val="0"/>
          <w:numId w:val="3"/>
        </w:numPr>
        <w:spacing w:after="60"/>
      </w:pPr>
      <w:r>
        <w:rPr>
          <w:rFonts w:ascii="Calibri" w:cs="Calibri" w:eastAsia="Calibri" w:hAnsi="Calibri"/>
          <w:sz w:val="22"/>
          <w:szCs w:val="22"/>
        </w:rPr>
        <w:t xml:space="preserve">Scheduler (every 15 minutes per P0 source, hourly per P1/P2, daily per P3) enqueues fetch jobs in Redis/BullMQ.</w:t>
      </w:r>
    </w:p>
    <w:p>
      <w:pPr>
        <w:pStyle w:val="ListParagraph"/>
        <w:numPr>
          <w:ilvl w:val="0"/>
          <w:numId w:val="3"/>
        </w:numPr>
        <w:spacing w:after="60"/>
      </w:pPr>
      <w:r>
        <w:rPr>
          <w:rFonts w:ascii="Calibri" w:cs="Calibri" w:eastAsia="Calibri" w:hAnsi="Calibri"/>
          <w:sz w:val="22"/>
          <w:szCs w:val="22"/>
        </w:rPr>
        <w:t xml:space="preserve">Worker picks job, fetches via Playwright (JS) or HTTP+lxml (static). Stores raw HTML in S3 keyed by (source, listing_id, fetched_at).</w:t>
      </w:r>
    </w:p>
    <w:p>
      <w:pPr>
        <w:pStyle w:val="ListParagraph"/>
        <w:numPr>
          <w:ilvl w:val="0"/>
          <w:numId w:val="3"/>
        </w:numPr>
        <w:spacing w:after="60"/>
      </w:pPr>
      <w:r>
        <w:rPr>
          <w:rFonts w:ascii="Calibri" w:cs="Calibri" w:eastAsia="Calibri" w:hAnsi="Calibri"/>
          <w:sz w:val="22"/>
          <w:szCs w:val="22"/>
        </w:rPr>
        <w:t xml:space="preserve">Parser maps raw HTML to a normalized 'RawListing' record. Each source has its own parser module under /scrapers/&lt;domain&gt;.py.</w:t>
      </w:r>
    </w:p>
    <w:p>
      <w:pPr>
        <w:pStyle w:val="ListParagraph"/>
        <w:numPr>
          <w:ilvl w:val="0"/>
          <w:numId w:val="3"/>
        </w:numPr>
        <w:spacing w:after="60"/>
      </w:pPr>
      <w:r>
        <w:rPr>
          <w:rFonts w:ascii="Calibri" w:cs="Calibri" w:eastAsia="Calibri" w:hAnsi="Calibri"/>
          <w:sz w:val="22"/>
          <w:szCs w:val="22"/>
        </w:rPr>
        <w:t xml:space="preserve">Normalizer enriches: geocode address, standardize district name, infer amenities from description, classify type/sub-type, run language detection and machine translation EN↔LV↔RU.</w:t>
      </w:r>
    </w:p>
    <w:p>
      <w:pPr>
        <w:pStyle w:val="ListParagraph"/>
        <w:numPr>
          <w:ilvl w:val="0"/>
          <w:numId w:val="3"/>
        </w:numPr>
        <w:spacing w:after="60"/>
      </w:pPr>
      <w:r>
        <w:rPr>
          <w:rFonts w:ascii="Calibri" w:cs="Calibri" w:eastAsia="Calibri" w:hAnsi="Calibri"/>
          <w:sz w:val="22"/>
          <w:szCs w:val="22"/>
        </w:rPr>
        <w:t xml:space="preserve">Dedup engine generates a 'fingerprint' = SHA1(normalized_address + ±5%_area + ±10%_price) AND a perceptual hash of the first image (pHash). Two listings match if either the fingerprint or pHash matches with high confidence.</w:t>
      </w:r>
    </w:p>
    <w:p>
      <w:pPr>
        <w:pStyle w:val="ListParagraph"/>
        <w:numPr>
          <w:ilvl w:val="0"/>
          <w:numId w:val="3"/>
        </w:numPr>
        <w:spacing w:after="60"/>
      </w:pPr>
      <w:r>
        <w:rPr>
          <w:rFonts w:ascii="Calibri" w:cs="Calibri" w:eastAsia="Calibri" w:hAnsi="Calibri"/>
          <w:sz w:val="22"/>
          <w:szCs w:val="22"/>
        </w:rPr>
        <w:t xml:space="preserve">Persister upserts into PostgreSQL. New listings are pushed to Meilisearch + a sitemap-update queue.</w:t>
      </w:r>
    </w:p>
    <w:p>
      <w:pPr>
        <w:pStyle w:val="ListParagraph"/>
        <w:numPr>
          <w:ilvl w:val="0"/>
          <w:numId w:val="3"/>
        </w:numPr>
        <w:spacing w:after="60"/>
      </w:pPr>
      <w:r>
        <w:rPr>
          <w:rFonts w:ascii="Calibri" w:cs="Calibri" w:eastAsia="Calibri" w:hAnsi="Calibri"/>
          <w:sz w:val="22"/>
          <w:szCs w:val="22"/>
        </w:rPr>
        <w:t xml:space="preserve">Healthcheck — for each source, alert if new-listing count in the last 24h is &lt;40% of the 7-day moving average. Auto-pause the source and open a ticket.</w:t>
      </w:r>
    </w:p>
    <w:p>
      <w:pPr>
        <w:pStyle w:val="Heading1"/>
        <w:spacing w:after="180" w:before="360"/>
      </w:pPr>
      <w:r>
        <w:rPr>
          <w:rFonts w:ascii="Calibri" w:cs="Calibri" w:eastAsia="Calibri" w:hAnsi="Calibri"/>
          <w:b/>
          <w:bCs/>
          <w:color w:val="0D6B6B"/>
          <w:sz w:val="36"/>
          <w:szCs w:val="36"/>
        </w:rPr>
        <w:t xml:space="preserve">5. Canonical Data Model</w:t>
      </w:r>
    </w:p>
    <w:p>
      <w:pPr>
        <w:spacing w:after="120"/>
      </w:pPr>
      <w:r>
        <w:rPr>
          <w:rFonts w:ascii="Calibri" w:cs="Calibri" w:eastAsia="Calibri" w:hAnsi="Calibri"/>
          <w:sz w:val="22"/>
          <w:szCs w:val="22"/>
        </w:rPr>
        <w:t xml:space="preserve">The listings table schema. JSONB columns keep schema migrations cheap and let the search index include all amenities and images without joins.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400"/>
      </w:tblGrid>
      <w:tr>
        <w:trPr>
          <w:tblHeader/>
        </w:trPr>
        <w:tc>
          <w:tcPr>
            <w:tcW w:type="dxa" w:w="30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22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34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rPr>
          <w:tblHeader w:val="false"/>
        </w:trPr>
        <w:tc>
          <w:tcPr>
            <w:tcW w:type="dxa" w:w="3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id</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uuid (PK)</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Internal listing ID</w:t>
            </w:r>
          </w:p>
        </w:tc>
      </w:tr>
      <w:tr>
        <w:trPr>
          <w:tblHeader w:val="false"/>
        </w:trPr>
        <w:tc>
          <w:tcPr>
            <w:tcW w:type="dxa" w:w="3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source_id</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string</w:t>
            </w:r>
          </w:p>
        </w:tc>
        <w:tc>
          <w:tcPr>
            <w:tcW w:type="dxa" w:w="3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ID on the source portal</w:t>
            </w:r>
          </w:p>
        </w:tc>
      </w:tr>
      <w:tr>
        <w:trPr>
          <w:tblHeader w:val="false"/>
        </w:trPr>
        <w:tc>
          <w:tcPr>
            <w:tcW w:type="dxa" w:w="3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source_domain</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string</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e.g. 'ss.lv'</w:t>
            </w:r>
          </w:p>
        </w:tc>
      </w:tr>
      <w:tr>
        <w:trPr>
          <w:tblHeader w:val="false"/>
        </w:trPr>
        <w:tc>
          <w:tcPr>
            <w:tcW w:type="dxa" w:w="3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source_url</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text</w:t>
            </w:r>
          </w:p>
        </w:tc>
        <w:tc>
          <w:tcPr>
            <w:tcW w:type="dxa" w:w="3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Canonical URL on source</w:t>
            </w:r>
          </w:p>
        </w:tc>
      </w:tr>
      <w:tr>
        <w:trPr>
          <w:tblHeader w:val="false"/>
        </w:trPr>
        <w:tc>
          <w:tcPr>
            <w:tcW w:type="dxa" w:w="3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type</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enum</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apartment / house / commercial / short_term</w:t>
            </w:r>
          </w:p>
        </w:tc>
      </w:tr>
      <w:tr>
        <w:trPr>
          <w:tblHeader w:val="false"/>
        </w:trPr>
        <w:tc>
          <w:tcPr>
            <w:tcW w:type="dxa" w:w="3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sub_type</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string</w:t>
            </w:r>
          </w:p>
        </w:tc>
        <w:tc>
          <w:tcPr>
            <w:tcW w:type="dxa" w:w="3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office, retail, warehouse, studio…</w:t>
            </w:r>
          </w:p>
        </w:tc>
      </w:tr>
      <w:tr>
        <w:trPr>
          <w:tblHeader w:val="false"/>
        </w:trPr>
        <w:tc>
          <w:tcPr>
            <w:tcW w:type="dxa" w:w="3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title</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text</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Original title (Latvian)</w:t>
            </w:r>
          </w:p>
        </w:tc>
      </w:tr>
      <w:tr>
        <w:trPr>
          <w:tblHeader w:val="false"/>
        </w:trPr>
        <w:tc>
          <w:tcPr>
            <w:tcW w:type="dxa" w:w="3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title_en / title_ru</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text</w:t>
            </w:r>
          </w:p>
        </w:tc>
        <w:tc>
          <w:tcPr>
            <w:tcW w:type="dxa" w:w="3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Auto-translated copies</w:t>
            </w:r>
          </w:p>
        </w:tc>
      </w:tr>
      <w:tr>
        <w:trPr>
          <w:tblHeader w:val="false"/>
        </w:trPr>
        <w:tc>
          <w:tcPr>
            <w:tcW w:type="dxa" w:w="3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description</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text</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Original full description</w:t>
            </w:r>
          </w:p>
        </w:tc>
      </w:tr>
      <w:tr>
        <w:trPr>
          <w:tblHeader w:val="false"/>
        </w:trPr>
        <w:tc>
          <w:tcPr>
            <w:tcW w:type="dxa" w:w="3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price</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numeric</w:t>
            </w:r>
          </w:p>
        </w:tc>
        <w:tc>
          <w:tcPr>
            <w:tcW w:type="dxa" w:w="3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Numeric price</w:t>
            </w:r>
          </w:p>
        </w:tc>
      </w:tr>
      <w:tr>
        <w:trPr>
          <w:tblHeader w:val="false"/>
        </w:trPr>
        <w:tc>
          <w:tcPr>
            <w:tcW w:type="dxa" w:w="3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price_unit</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enum</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per_month / per_night / per_m2 / total</w:t>
            </w:r>
          </w:p>
        </w:tc>
      </w:tr>
      <w:tr>
        <w:trPr>
          <w:tblHeader w:val="false"/>
        </w:trPr>
        <w:tc>
          <w:tcPr>
            <w:tcW w:type="dxa" w:w="3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currency</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string</w:t>
            </w:r>
          </w:p>
        </w:tc>
        <w:tc>
          <w:tcPr>
            <w:tcW w:type="dxa" w:w="3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Always EUR for Riga</w:t>
            </w:r>
          </w:p>
        </w:tc>
      </w:tr>
      <w:tr>
        <w:trPr>
          <w:tblHeader w:val="false"/>
        </w:trPr>
        <w:tc>
          <w:tcPr>
            <w:tcW w:type="dxa" w:w="3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address</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text</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Street + number</w:t>
            </w:r>
          </w:p>
        </w:tc>
      </w:tr>
      <w:tr>
        <w:trPr>
          <w:tblHeader w:val="false"/>
        </w:trPr>
        <w:tc>
          <w:tcPr>
            <w:tcW w:type="dxa" w:w="3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district</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string</w:t>
            </w:r>
          </w:p>
        </w:tc>
        <w:tc>
          <w:tcPr>
            <w:tcW w:type="dxa" w:w="3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Normalized to RR_DISTRICTS list</w:t>
            </w:r>
          </w:p>
        </w:tc>
      </w:tr>
      <w:tr>
        <w:trPr>
          <w:tblHeader w:val="false"/>
        </w:trPr>
        <w:tc>
          <w:tcPr>
            <w:tcW w:type="dxa" w:w="3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lat / lng</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numeric</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Geocoded — Nominatim / Google</w:t>
            </w:r>
          </w:p>
        </w:tc>
      </w:tr>
      <w:tr>
        <w:trPr>
          <w:tblHeader w:val="false"/>
        </w:trPr>
        <w:tc>
          <w:tcPr>
            <w:tcW w:type="dxa" w:w="3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rooms / area_m2 / floor / floor_max / plot_m2 / year_built</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various</w:t>
            </w:r>
          </w:p>
        </w:tc>
        <w:tc>
          <w:tcPr>
            <w:tcW w:type="dxa" w:w="3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Property facts</w:t>
            </w:r>
          </w:p>
        </w:tc>
      </w:tr>
      <w:tr>
        <w:trPr>
          <w:tblHeader w:val="false"/>
        </w:trPr>
        <w:tc>
          <w:tcPr>
            <w:tcW w:type="dxa" w:w="3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amenities</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jsonb</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Normalized amenity codes</w:t>
            </w:r>
          </w:p>
        </w:tc>
      </w:tr>
      <w:tr>
        <w:trPr>
          <w:tblHeader w:val="false"/>
        </w:trPr>
        <w:tc>
          <w:tcPr>
            <w:tcW w:type="dxa" w:w="3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images</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jsonb</w:t>
            </w:r>
          </w:p>
        </w:tc>
        <w:tc>
          <w:tcPr>
            <w:tcW w:type="dxa" w:w="3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Array of CDN URLs (mirrored to our S3)</w:t>
            </w:r>
          </w:p>
        </w:tc>
      </w:tr>
      <w:tr>
        <w:trPr>
          <w:tblHeader w:val="false"/>
        </w:trPr>
        <w:tc>
          <w:tcPr>
            <w:tcW w:type="dxa" w:w="3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dedup_hash</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string (idx)</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Hash for cross-source matching</w:t>
            </w:r>
          </w:p>
        </w:tc>
      </w:tr>
      <w:tr>
        <w:trPr>
          <w:tblHeader w:val="false"/>
        </w:trPr>
        <w:tc>
          <w:tcPr>
            <w:tcW w:type="dxa" w:w="3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fingerprint</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string</w:t>
            </w:r>
          </w:p>
        </w:tc>
        <w:tc>
          <w:tcPr>
            <w:tcW w:type="dxa" w:w="3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Image perceptual hash + address tokens</w:t>
            </w:r>
          </w:p>
        </w:tc>
      </w:tr>
      <w:tr>
        <w:trPr>
          <w:tblHeader w:val="false"/>
        </w:trPr>
        <w:tc>
          <w:tcPr>
            <w:tcW w:type="dxa" w:w="3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first_seen / last_seen / updated_at</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timestamp</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Crawl bookkeeping</w:t>
            </w:r>
          </w:p>
        </w:tc>
      </w:tr>
      <w:tr>
        <w:trPr>
          <w:tblHeader w:val="false"/>
        </w:trPr>
        <w:tc>
          <w:tcPr>
            <w:tcW w:type="dxa" w:w="3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status</w:t>
            </w:r>
          </w:p>
        </w:tc>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enum</w:t>
            </w:r>
          </w:p>
        </w:tc>
        <w:tc>
          <w:tcPr>
            <w:tcW w:type="dxa" w:w="3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active / paused / removed</w:t>
            </w:r>
          </w:p>
        </w:tc>
      </w:tr>
      <w:tr>
        <w:trPr>
          <w:tblHeader w:val="false"/>
        </w:trPr>
        <w:tc>
          <w:tcPr>
            <w:tcW w:type="dxa" w:w="3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score</w:t>
            </w:r>
          </w:p>
        </w:tc>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numeric</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Ranking score (quality, freshness)</w:t>
            </w:r>
          </w:p>
        </w:tc>
      </w:tr>
    </w:tbl>
    <w:p>
      <w:pPr>
        <w:spacing w:after="120"/>
      </w:pPr>
      <w:r>
        <w:rPr>
          <w:rFonts w:ascii="Calibri" w:cs="Calibri" w:eastAsia="Calibri" w:hAnsi="Calibri"/>
          <w:sz w:val="22"/>
          <w:szCs w:val="22"/>
        </w:rPr>
        <w:t xml:space="preserve"> </w:t>
      </w:r>
    </w:p>
    <w:p>
      <w:pPr>
        <w:pStyle w:val="Heading3"/>
        <w:spacing w:after="80" w:before="200"/>
      </w:pPr>
      <w:r>
        <w:rPr>
          <w:rFonts w:ascii="Calibri" w:cs="Calibri" w:eastAsia="Calibri" w:hAnsi="Calibri"/>
          <w:b/>
          <w:bCs/>
          <w:color w:val="0D6B6B"/>
          <w:sz w:val="24"/>
          <w:szCs w:val="24"/>
        </w:rPr>
        <w:t xml:space="preserve">Supporting tables</w:t>
      </w:r>
    </w:p>
    <w:p>
      <w:pPr>
        <w:pStyle w:val="ListParagraph"/>
        <w:numPr>
          <w:ilvl w:val="0"/>
          <w:numId w:val="2"/>
        </w:numPr>
        <w:spacing w:after="60"/>
      </w:pPr>
      <w:r>
        <w:rPr>
          <w:rFonts w:ascii="Calibri" w:cs="Calibri" w:eastAsia="Calibri" w:hAnsi="Calibri"/>
          <w:sz w:val="22"/>
          <w:szCs w:val="22"/>
        </w:rPr>
        <w:t xml:space="preserve">sources — one row per portal: domain, scraper module, schedule, status, last_success_at.</w:t>
      </w:r>
    </w:p>
    <w:p>
      <w:pPr>
        <w:pStyle w:val="ListParagraph"/>
        <w:numPr>
          <w:ilvl w:val="0"/>
          <w:numId w:val="2"/>
        </w:numPr>
        <w:spacing w:after="60"/>
      </w:pPr>
      <w:r>
        <w:rPr>
          <w:rFonts w:ascii="Calibri" w:cs="Calibri" w:eastAsia="Calibri" w:hAnsi="Calibri"/>
          <w:sz w:val="22"/>
          <w:szCs w:val="22"/>
        </w:rPr>
        <w:t xml:space="preserve">source_runs — one row per crawl job; durations, items found, errors. Powers the healthcheck.</w:t>
      </w:r>
    </w:p>
    <w:p>
      <w:pPr>
        <w:pStyle w:val="ListParagraph"/>
        <w:numPr>
          <w:ilvl w:val="0"/>
          <w:numId w:val="2"/>
        </w:numPr>
        <w:spacing w:after="60"/>
      </w:pPr>
      <w:r>
        <w:rPr>
          <w:rFonts w:ascii="Calibri" w:cs="Calibri" w:eastAsia="Calibri" w:hAnsi="Calibri"/>
          <w:sz w:val="22"/>
          <w:szCs w:val="22"/>
        </w:rPr>
        <w:t xml:space="preserve">districts — canonical Riga districts with bounding polygons (PostGIS).</w:t>
      </w:r>
    </w:p>
    <w:p>
      <w:pPr>
        <w:pStyle w:val="ListParagraph"/>
        <w:numPr>
          <w:ilvl w:val="0"/>
          <w:numId w:val="2"/>
        </w:numPr>
        <w:spacing w:after="60"/>
      </w:pPr>
      <w:r>
        <w:rPr>
          <w:rFonts w:ascii="Calibri" w:cs="Calibri" w:eastAsia="Calibri" w:hAnsi="Calibri"/>
          <w:sz w:val="22"/>
          <w:szCs w:val="22"/>
        </w:rPr>
        <w:t xml:space="preserve">amenities — controlled vocabulary; each source's amenity strings map into this list.</w:t>
      </w:r>
    </w:p>
    <w:p>
      <w:pPr>
        <w:pStyle w:val="ListParagraph"/>
        <w:numPr>
          <w:ilvl w:val="0"/>
          <w:numId w:val="2"/>
        </w:numPr>
        <w:spacing w:after="60"/>
      </w:pPr>
      <w:r>
        <w:rPr>
          <w:rFonts w:ascii="Calibri" w:cs="Calibri" w:eastAsia="Calibri" w:hAnsi="Calibri"/>
          <w:sz w:val="22"/>
          <w:szCs w:val="22"/>
        </w:rPr>
        <w:t xml:space="preserve">users — when we add accounts; saved searches, favorites, alerts.</w:t>
      </w:r>
    </w:p>
    <w:p>
      <w:pPr>
        <w:pStyle w:val="ListParagraph"/>
        <w:numPr>
          <w:ilvl w:val="0"/>
          <w:numId w:val="2"/>
        </w:numPr>
        <w:spacing w:after="60"/>
      </w:pPr>
      <w:r>
        <w:rPr>
          <w:rFonts w:ascii="Calibri" w:cs="Calibri" w:eastAsia="Calibri" w:hAnsi="Calibri"/>
          <w:sz w:val="22"/>
          <w:szCs w:val="22"/>
        </w:rPr>
        <w:t xml:space="preserve">leads — anonymized enquiry forwarding records for monetization and analytics.</w:t>
      </w:r>
    </w:p>
    <w:p>
      <w:pPr>
        <w:pStyle w:val="Heading1"/>
        <w:spacing w:after="180" w:before="360"/>
      </w:pPr>
      <w:r>
        <w:rPr>
          <w:rFonts w:ascii="Calibri" w:cs="Calibri" w:eastAsia="Calibri" w:hAnsi="Calibri"/>
          <w:b/>
          <w:bCs/>
          <w:color w:val="0D6B6B"/>
          <w:sz w:val="36"/>
          <w:szCs w:val="36"/>
        </w:rPr>
        <w:t xml:space="preserve">6. Deduplication Strategy</w:t>
      </w:r>
    </w:p>
    <w:p>
      <w:pPr>
        <w:spacing w:after="120"/>
      </w:pPr>
      <w:r>
        <w:rPr>
          <w:rFonts w:ascii="Calibri" w:cs="Calibri" w:eastAsia="Calibri" w:hAnsi="Calibri"/>
          <w:sz w:val="22"/>
          <w:szCs w:val="22"/>
        </w:rPr>
        <w:t xml:space="preserve">De-duplication is the single most important technical bet in the product. If it works, RentRiga becomes obviously better than every existing portal. If it fails, users see the same flat ten times and lose trust immediately.</w:t>
      </w:r>
    </w:p>
    <w:p>
      <w:pPr>
        <w:pStyle w:val="Heading3"/>
        <w:spacing w:after="80" w:before="200"/>
      </w:pPr>
      <w:r>
        <w:rPr>
          <w:rFonts w:ascii="Calibri" w:cs="Calibri" w:eastAsia="Calibri" w:hAnsi="Calibri"/>
          <w:b/>
          <w:bCs/>
          <w:color w:val="0D6B6B"/>
          <w:sz w:val="24"/>
          <w:szCs w:val="24"/>
        </w:rPr>
        <w:t xml:space="preserve">6.1 Hybrid matching</w:t>
      </w:r>
    </w:p>
    <w:p>
      <w:pPr>
        <w:pStyle w:val="ListParagraph"/>
        <w:numPr>
          <w:ilvl w:val="0"/>
          <w:numId w:val="3"/>
        </w:numPr>
        <w:spacing w:after="60"/>
      </w:pPr>
      <w:r>
        <w:rPr>
          <w:rFonts w:ascii="Calibri" w:cs="Calibri" w:eastAsia="Calibri" w:hAnsi="Calibri"/>
          <w:sz w:val="22"/>
          <w:szCs w:val="22"/>
        </w:rPr>
        <w:t xml:space="preserve">Hard match on (street + house_number + area_m2 within ±5% + rooms exact).</w:t>
      </w:r>
    </w:p>
    <w:p>
      <w:pPr>
        <w:pStyle w:val="ListParagraph"/>
        <w:numPr>
          <w:ilvl w:val="0"/>
          <w:numId w:val="3"/>
        </w:numPr>
        <w:spacing w:after="60"/>
      </w:pPr>
      <w:r>
        <w:rPr>
          <w:rFonts w:ascii="Calibri" w:cs="Calibri" w:eastAsia="Calibri" w:hAnsi="Calibri"/>
          <w:sz w:val="22"/>
          <w:szCs w:val="22"/>
        </w:rPr>
        <w:t xml:space="preserve">Image perceptual-hash match (pHash distance ≤ 8) of any image pair between candidates.</w:t>
      </w:r>
    </w:p>
    <w:p>
      <w:pPr>
        <w:pStyle w:val="ListParagraph"/>
        <w:numPr>
          <w:ilvl w:val="0"/>
          <w:numId w:val="3"/>
        </w:numPr>
        <w:spacing w:after="60"/>
      </w:pPr>
      <w:r>
        <w:rPr>
          <w:rFonts w:ascii="Calibri" w:cs="Calibri" w:eastAsia="Calibri" w:hAnsi="Calibri"/>
          <w:sz w:val="22"/>
          <w:szCs w:val="22"/>
        </w:rPr>
        <w:t xml:space="preserve">Soft match (review queue) on (street + price_band + rooms) without house number.</w:t>
      </w:r>
    </w:p>
    <w:p>
      <w:pPr>
        <w:pStyle w:val="Heading3"/>
        <w:spacing w:after="80" w:before="200"/>
      </w:pPr>
      <w:r>
        <w:rPr>
          <w:rFonts w:ascii="Calibri" w:cs="Calibri" w:eastAsia="Calibri" w:hAnsi="Calibri"/>
          <w:b/>
          <w:bCs/>
          <w:color w:val="0D6B6B"/>
          <w:sz w:val="24"/>
          <w:szCs w:val="24"/>
        </w:rPr>
        <w:t xml:space="preserve">6.2 Cluster picks one canonical</w:t>
      </w:r>
    </w:p>
    <w:p>
      <w:pPr>
        <w:spacing w:after="120"/>
      </w:pPr>
      <w:r>
        <w:rPr>
          <w:rFonts w:ascii="Calibri" w:cs="Calibri" w:eastAsia="Calibri" w:hAnsi="Calibri"/>
          <w:sz w:val="22"/>
          <w:szCs w:val="22"/>
        </w:rPr>
        <w:t xml:space="preserve">When two or more listings cluster, we keep one canonical record and store the others as source_links inside it. The canonical record uses: the lowest price (since it's most renter-favorable), the most images, and the most detailed description.</w:t>
      </w:r>
    </w:p>
    <w:p>
      <w:pPr>
        <w:pStyle w:val="Heading3"/>
        <w:spacing w:after="80" w:before="200"/>
      </w:pPr>
      <w:r>
        <w:rPr>
          <w:rFonts w:ascii="Calibri" w:cs="Calibri" w:eastAsia="Calibri" w:hAnsi="Calibri"/>
          <w:b/>
          <w:bCs/>
          <w:color w:val="0D6B6B"/>
          <w:sz w:val="24"/>
          <w:szCs w:val="24"/>
        </w:rPr>
        <w:t xml:space="preserve">6.3 Manual review queue</w:t>
      </w:r>
    </w:p>
    <w:p>
      <w:pPr>
        <w:spacing w:after="120"/>
      </w:pPr>
      <w:r>
        <w:rPr>
          <w:rFonts w:ascii="Calibri" w:cs="Calibri" w:eastAsia="Calibri" w:hAnsi="Calibri"/>
          <w:sz w:val="22"/>
          <w:szCs w:val="22"/>
        </w:rPr>
        <w:t xml:space="preserve">In the first 6 months, ambiguous clusters (3–10% of new listings) go to a one-screen reviewer tool. Two students part-time can keep up. After 6 months, the reviewer data trains a classifier that handles the queue automatically.</w:t>
      </w:r>
    </w:p>
    <w:p>
      <w:pPr>
        <w:pStyle w:val="Heading1"/>
        <w:spacing w:after="180" w:before="360"/>
      </w:pPr>
      <w:r>
        <w:rPr>
          <w:rFonts w:ascii="Calibri" w:cs="Calibri" w:eastAsia="Calibri" w:hAnsi="Calibri"/>
          <w:b/>
          <w:bCs/>
          <w:color w:val="0D6B6B"/>
          <w:sz w:val="36"/>
          <w:szCs w:val="36"/>
        </w:rPr>
        <w:t xml:space="preserve">7. SEO Strategy</w:t>
      </w:r>
    </w:p>
    <w:p>
      <w:pPr>
        <w:spacing w:after="120"/>
      </w:pPr>
      <w:r>
        <w:rPr>
          <w:rFonts w:ascii="Calibri" w:cs="Calibri" w:eastAsia="Calibri" w:hAnsi="Calibri"/>
          <w:sz w:val="22"/>
          <w:szCs w:val="22"/>
        </w:rPr>
        <w:t xml:space="preserve">SEO will be the dominant acquisition channel. Latvian-language rental searches are uncontested by global players, and RentRiga's structural advantage (largest live listing index) makes long-tail capture cheap.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00"/>
      </w:tblGrid>
      <w:tr>
        <w:trPr>
          <w:tblHeader/>
        </w:trPr>
        <w:tc>
          <w:tcPr>
            <w:tcW w:type="dxa" w:w="22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Tactic</w:t>
            </w:r>
          </w:p>
        </w:tc>
        <w:tc>
          <w:tcPr>
            <w:tcW w:type="dxa" w:w="37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What &amp; where</w:t>
            </w:r>
          </w:p>
        </w:tc>
        <w:tc>
          <w:tcPr>
            <w:tcW w:type="dxa" w:w="34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Why it matters in Riga</w:t>
            </w:r>
          </w:p>
        </w:tc>
      </w:tr>
      <w:tr>
        <w:trPr>
          <w:tblHeader w:val="false"/>
        </w:trPr>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URL structure</w:t>
            </w:r>
          </w:p>
        </w:tc>
        <w:tc>
          <w:tcPr>
            <w:tcW w:type="dxa" w:w="37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/en/rent/apartment/centrs, /lv/ire/dzivoklis/centrs, /ru/arenda/kvartira/centrs</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Language- and intent-targeted URLs are the strongest single SEO signal in this market.</w:t>
            </w:r>
          </w:p>
        </w:tc>
      </w:tr>
      <w:tr>
        <w:trPr>
          <w:tblHeader w:val="false"/>
        </w:trPr>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hreflang &amp; canonical</w:t>
            </w:r>
          </w:p>
        </w:tc>
        <w:tc>
          <w:tcPr>
            <w:tcW w:type="dxa" w:w="37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hreflang en/lv/ru pairs on every page; canonical to LV by default.</w:t>
            </w:r>
          </w:p>
        </w:tc>
        <w:tc>
          <w:tcPr>
            <w:tcW w:type="dxa" w:w="3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Avoid Google treating EN/LV/RU as duplicates.</w:t>
            </w:r>
          </w:p>
        </w:tc>
      </w:tr>
      <w:tr>
        <w:trPr>
          <w:tblHeader w:val="false"/>
        </w:trPr>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Programmatic SEO pages</w:t>
            </w:r>
          </w:p>
        </w:tc>
        <w:tc>
          <w:tcPr>
            <w:tcW w:type="dxa" w:w="37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Auto-generated landing pages per (district × type × price-band): ~600 high-quality pages.</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Captures long-tail queries like 'īrēt dzīvokli Mežaparkā līdz 800 EUR'.</w:t>
            </w:r>
          </w:p>
        </w:tc>
      </w:tr>
      <w:tr>
        <w:trPr>
          <w:tblHeader w:val="false"/>
        </w:trPr>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Content engine</w:t>
            </w:r>
          </w:p>
        </w:tc>
        <w:tc>
          <w:tcPr>
            <w:tcW w:type="dxa" w:w="37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Weekly market reports, neighborhood guides, 'cost of living in Riga' content. Bilingual LV/EN.</w:t>
            </w:r>
          </w:p>
        </w:tc>
        <w:tc>
          <w:tcPr>
            <w:tcW w:type="dxa" w:w="3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Builds topical authority + acquires backlinks from expat blogs.</w:t>
            </w:r>
          </w:p>
        </w:tc>
      </w:tr>
      <w:tr>
        <w:trPr>
          <w:tblHeader w:val="false"/>
        </w:trPr>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Structured data</w:t>
            </w:r>
          </w:p>
        </w:tc>
        <w:tc>
          <w:tcPr>
            <w:tcW w:type="dxa" w:w="37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Schema.org Apartment / Residence on every listing; RealEstateAgent on homepage.</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Eligible for rich result snippets in Google.</w:t>
            </w:r>
          </w:p>
        </w:tc>
      </w:tr>
      <w:tr>
        <w:trPr>
          <w:tblHeader w:val="false"/>
        </w:trPr>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Sitemap + IndexNow</w:t>
            </w:r>
          </w:p>
        </w:tc>
        <w:tc>
          <w:tcPr>
            <w:tcW w:type="dxa" w:w="37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Auto-generated XML sitemap pushed on every crawl; ping IndexNow on new listings.</w:t>
            </w:r>
          </w:p>
        </w:tc>
        <w:tc>
          <w:tcPr>
            <w:tcW w:type="dxa" w:w="34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Newly scraped listings indexed in hours, not days.</w:t>
            </w:r>
          </w:p>
        </w:tc>
      </w:tr>
      <w:tr>
        <w:trPr>
          <w:tblHeader w:val="false"/>
        </w:trPr>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Local backlinks</w:t>
            </w:r>
          </w:p>
        </w:tc>
        <w:tc>
          <w:tcPr>
            <w:tcW w:type="dxa" w:w="37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Outreach to LIVA, expat communities, university housing offices, embassies.</w:t>
            </w:r>
          </w:p>
        </w:tc>
        <w:tc>
          <w:tcPr>
            <w:tcW w:type="dxa" w:w="34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Riga's link graph is small — a handful of authority links moves rankings dramatically.</w:t>
            </w:r>
          </w:p>
        </w:tc>
      </w:tr>
    </w:tbl>
    <w:p>
      <w:pPr>
        <w:spacing w:after="120"/>
      </w:pPr>
      <w:r>
        <w:rPr>
          <w:rFonts w:ascii="Calibri" w:cs="Calibri" w:eastAsia="Calibri" w:hAnsi="Calibri"/>
          <w:sz w:val="22"/>
          <w:szCs w:val="22"/>
        </w:rPr>
        <w:t xml:space="preserve"> </w:t>
      </w:r>
    </w:p>
    <w:p>
      <w:pPr>
        <w:pStyle w:val="Heading3"/>
        <w:spacing w:after="80" w:before="200"/>
      </w:pPr>
      <w:r>
        <w:rPr>
          <w:rFonts w:ascii="Calibri" w:cs="Calibri" w:eastAsia="Calibri" w:hAnsi="Calibri"/>
          <w:b/>
          <w:bCs/>
          <w:color w:val="0D6B6B"/>
          <w:sz w:val="24"/>
          <w:szCs w:val="24"/>
        </w:rPr>
        <w:t xml:space="preserve">Keyword priorities, by language</w:t>
      </w:r>
    </w:p>
    <w:p>
      <w:pPr>
        <w:pStyle w:val="ListParagraph"/>
        <w:numPr>
          <w:ilvl w:val="0"/>
          <w:numId w:val="2"/>
        </w:numPr>
        <w:spacing w:after="60"/>
      </w:pPr>
      <w:r>
        <w:rPr>
          <w:rFonts w:ascii="Calibri" w:cs="Calibri" w:eastAsia="Calibri" w:hAnsi="Calibri"/>
          <w:sz w:val="22"/>
          <w:szCs w:val="22"/>
        </w:rPr>
        <w:t xml:space="preserve">Latvian (highest local intent): 'īrēt dzīvokli Rīgā', 'dzīvoklis īrei Rīga centrs', 'māja īrei Rīga', 'biroja telpas Rīgā'.</w:t>
      </w:r>
    </w:p>
    <w:p>
      <w:pPr>
        <w:pStyle w:val="ListParagraph"/>
        <w:numPr>
          <w:ilvl w:val="0"/>
          <w:numId w:val="2"/>
        </w:numPr>
        <w:spacing w:after="60"/>
      </w:pPr>
      <w:r>
        <w:rPr>
          <w:rFonts w:ascii="Calibri" w:cs="Calibri" w:eastAsia="Calibri" w:hAnsi="Calibri"/>
          <w:sz w:val="22"/>
          <w:szCs w:val="22"/>
        </w:rPr>
        <w:t xml:space="preserve">Russian (second-largest audience): 'снять квартиру Рига', 'аренда квартиры Рига центр', 'долгосрочная аренда Рига'.</w:t>
      </w:r>
    </w:p>
    <w:p>
      <w:pPr>
        <w:pStyle w:val="ListParagraph"/>
        <w:numPr>
          <w:ilvl w:val="0"/>
          <w:numId w:val="2"/>
        </w:numPr>
        <w:spacing w:after="60"/>
      </w:pPr>
      <w:r>
        <w:rPr>
          <w:rFonts w:ascii="Calibri" w:cs="Calibri" w:eastAsia="Calibri" w:hAnsi="Calibri"/>
          <w:sz w:val="22"/>
          <w:szCs w:val="22"/>
        </w:rPr>
        <w:t xml:space="preserve">English (expats, businesses, students): 'rent apartment Riga', 'long-term rental Riga', 'Riga apartments for rent', 'short-term apartment Riga'.</w:t>
      </w:r>
    </w:p>
    <w:p>
      <w:pPr>
        <w:pStyle w:val="Heading1"/>
        <w:spacing w:after="180" w:before="360"/>
      </w:pPr>
      <w:r>
        <w:rPr>
          <w:rFonts w:ascii="Calibri" w:cs="Calibri" w:eastAsia="Calibri" w:hAnsi="Calibri"/>
          <w:b/>
          <w:bCs/>
          <w:color w:val="0D6B6B"/>
          <w:sz w:val="36"/>
          <w:szCs w:val="36"/>
        </w:rPr>
        <w:t xml:space="preserve">8. Monetization</w:t>
      </w:r>
    </w:p>
    <w:p>
      <w:pPr>
        <w:spacing w:after="120"/>
      </w:pPr>
      <w:r>
        <w:rPr>
          <w:rFonts w:ascii="Calibri" w:cs="Calibri" w:eastAsia="Calibri" w:hAnsi="Calibri"/>
          <w:sz w:val="22"/>
          <w:szCs w:val="22"/>
        </w:rPr>
        <w:t xml:space="preserve">Six revenue streams are realistic in Year 1. The strategy is to layer them gradually: featured listings and agency Pro pay for the platform, lead routing scales, and consumer premium is a high-margin add-on later.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00"/>
      </w:tblGrid>
      <w:tr>
        <w:trPr>
          <w:tblHeader/>
        </w:trPr>
        <w:tc>
          <w:tcPr>
            <w:tcW w:type="dxa" w:w="22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Stream</w:t>
            </w:r>
          </w:p>
        </w:tc>
        <w:tc>
          <w:tcPr>
            <w:tcW w:type="dxa" w:w="42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Mechanic</w:t>
            </w:r>
          </w:p>
        </w:tc>
        <w:tc>
          <w:tcPr>
            <w:tcW w:type="dxa" w:w="29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Realistic monthly target (Year 1)</w:t>
            </w:r>
          </w:p>
        </w:tc>
      </w:tr>
      <w:tr>
        <w:trPr>
          <w:tblHeader w:val="false"/>
        </w:trPr>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Featured listings</w:t>
            </w:r>
          </w:p>
        </w:tc>
        <w:tc>
          <w:tcPr>
            <w:tcW w:type="dxa" w:w="4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Landlords/agencies pay €19–€49 to pin a listing for 14 days.</w:t>
            </w:r>
          </w:p>
        </w:tc>
        <w:tc>
          <w:tcPr>
            <w:tcW w:type="dxa" w:w="2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€2,000–€6,000</w:t>
            </w:r>
          </w:p>
        </w:tc>
      </w:tr>
      <w:tr>
        <w:trPr>
          <w:tblHeader w:val="false"/>
        </w:trPr>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Agency Pro accounts</w:t>
            </w:r>
          </w:p>
        </w:tc>
        <w:tc>
          <w:tcPr>
            <w:tcW w:type="dxa" w:w="4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Tiered subscriptions (€49/€149/€299) with branded profile, lead routing, analytics.</w:t>
            </w:r>
          </w:p>
        </w:tc>
        <w:tc>
          <w:tcPr>
            <w:tcW w:type="dxa" w:w="2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€3,000–€10,000</w:t>
            </w:r>
          </w:p>
        </w:tc>
      </w:tr>
      <w:tr>
        <w:trPr>
          <w:tblHeader w:val="false"/>
        </w:trPr>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Qualified leads / CPA</w:t>
            </w:r>
          </w:p>
        </w:tc>
        <w:tc>
          <w:tcPr>
            <w:tcW w:type="dxa" w:w="4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Charge €3–€8 per qualified enquiry routed to source agency.</w:t>
            </w:r>
          </w:p>
        </w:tc>
        <w:tc>
          <w:tcPr>
            <w:tcW w:type="dxa" w:w="2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€1,000–€4,000</w:t>
            </w:r>
          </w:p>
        </w:tc>
      </w:tr>
      <w:tr>
        <w:trPr>
          <w:tblHeader w:val="false"/>
        </w:trPr>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Sponsored placement</w:t>
            </w:r>
          </w:p>
        </w:tc>
        <w:tc>
          <w:tcPr>
            <w:tcW w:type="dxa" w:w="4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Native ads on category and district pages (moving services, banks, insurers).</w:t>
            </w:r>
          </w:p>
        </w:tc>
        <w:tc>
          <w:tcPr>
            <w:tcW w:type="dxa" w:w="2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€500–€2,500</w:t>
            </w:r>
          </w:p>
        </w:tc>
      </w:tr>
      <w:tr>
        <w:trPr>
          <w:tblHeader w:val="false"/>
        </w:trPr>
        <w:tc>
          <w:tcPr>
            <w:tcW w:type="dxa" w:w="2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Affiliate (utilities, insurance)</w:t>
            </w:r>
          </w:p>
        </w:tc>
        <w:tc>
          <w:tcPr>
            <w:tcW w:type="dxa" w:w="42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Renter-side affiliate revenue from energy, internet, and insurance signups.</w:t>
            </w:r>
          </w:p>
        </w:tc>
        <w:tc>
          <w:tcPr>
            <w:tcW w:type="dxa" w:w="2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€300–€1,500</w:t>
            </w:r>
          </w:p>
        </w:tc>
      </w:tr>
      <w:tr>
        <w:trPr>
          <w:tblHeader w:val="false"/>
        </w:trPr>
        <w:tc>
          <w:tcPr>
            <w:tcW w:type="dxa" w:w="2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Premium consumer features</w:t>
            </w:r>
          </w:p>
        </w:tc>
        <w:tc>
          <w:tcPr>
            <w:tcW w:type="dxa" w:w="42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Saved-search SMS/WhatsApp alerts, instant alerts on new listings: €4.99/mo.</w:t>
            </w:r>
          </w:p>
        </w:tc>
        <w:tc>
          <w:tcPr>
            <w:tcW w:type="dxa" w:w="2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€200–€1,000</w:t>
            </w:r>
          </w:p>
        </w:tc>
      </w:tr>
    </w:tbl>
    <w:p>
      <w:pPr>
        <w:pStyle w:val="Heading1"/>
        <w:spacing w:after="180" w:before="360"/>
      </w:pPr>
      <w:r>
        <w:rPr>
          <w:rFonts w:ascii="Calibri" w:cs="Calibri" w:eastAsia="Calibri" w:hAnsi="Calibri"/>
          <w:b/>
          <w:bCs/>
          <w:color w:val="0D6B6B"/>
          <w:sz w:val="36"/>
          <w:szCs w:val="36"/>
        </w:rPr>
        <w:t xml:space="preserve">9. Delivery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800"/>
        <w:gridCol w:w="2000"/>
      </w:tblGrid>
      <w:tr>
        <w:trPr>
          <w:tblHeader/>
        </w:trPr>
        <w:tc>
          <w:tcPr>
            <w:tcW w:type="dxa" w:w="19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Phase</w:t>
            </w:r>
          </w:p>
        </w:tc>
        <w:tc>
          <w:tcPr>
            <w:tcW w:type="dxa" w:w="17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Timeframe</w:t>
            </w:r>
          </w:p>
        </w:tc>
        <w:tc>
          <w:tcPr>
            <w:tcW w:type="dxa" w:w="38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Scope</w:t>
            </w:r>
          </w:p>
        </w:tc>
        <w:tc>
          <w:tcPr>
            <w:tcW w:type="dxa" w:w="20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Output</w:t>
            </w:r>
          </w:p>
        </w:tc>
      </w:tr>
      <w:tr>
        <w:trPr>
          <w:tblHeader w:val="false"/>
        </w:trPr>
        <w:tc>
          <w:tcPr>
            <w:tcW w:type="dxa" w:w="1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Phase 0 — Foundations</w:t>
            </w:r>
          </w:p>
        </w:tc>
        <w:tc>
          <w:tcPr>
            <w:tcW w:type="dxa" w:w="17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Weeks 1–2</w:t>
            </w:r>
          </w:p>
        </w:tc>
        <w:tc>
          <w:tcPr>
            <w:tcW w:type="dxa" w:w="38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Brand polish, multi-language URL structure (/en, /lv, /ru), legal pages, hosting setup.</w:t>
            </w:r>
          </w:p>
        </w:tc>
        <w:tc>
          <w:tcPr>
            <w:tcW w:type="dxa" w:w="2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Live marketing site + design system locked.</w:t>
            </w:r>
          </w:p>
        </w:tc>
      </w:tr>
      <w:tr>
        <w:trPr>
          <w:tblHeader w:val="false"/>
        </w:trPr>
        <w:tc>
          <w:tcPr>
            <w:tcW w:type="dxa" w:w="1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Phase 1 — MVP scraper</w:t>
            </w:r>
          </w:p>
        </w:tc>
        <w:tc>
          <w:tcPr>
            <w:tcW w:type="dxa" w:w="17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Weeks 2–6</w:t>
            </w:r>
          </w:p>
        </w:tc>
        <w:tc>
          <w:tcPr>
            <w:tcW w:type="dxa" w:w="38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Build scrapers for the 5 P0 portals (ss.lv, city24.lv, mm.lv, varianti.lv, inch.lv). Database, geocoding, dedup, image mirroring.</w:t>
            </w:r>
          </w:p>
        </w:tc>
        <w:tc>
          <w:tcPr>
            <w:tcW w:type="dxa" w:w="2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~15,000 deduplicated live listings updated hourly.</w:t>
            </w:r>
          </w:p>
        </w:tc>
      </w:tr>
      <w:tr>
        <w:trPr>
          <w:tblHeader w:val="false"/>
        </w:trPr>
        <w:tc>
          <w:tcPr>
            <w:tcW w:type="dxa" w:w="1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Phase 2 — Search &amp; portal</w:t>
            </w:r>
          </w:p>
        </w:tc>
        <w:tc>
          <w:tcPr>
            <w:tcW w:type="dxa" w:w="17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Weeks 6–10</w:t>
            </w:r>
          </w:p>
        </w:tc>
        <w:tc>
          <w:tcPr>
            <w:tcW w:type="dxa" w:w="38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Meilisearch index, frontend search/filter/map, listing detail, saved searches, email alerts, full SEO sitemap.</w:t>
            </w:r>
          </w:p>
        </w:tc>
        <w:tc>
          <w:tcPr>
            <w:tcW w:type="dxa" w:w="2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Public launch. Goal: 5,000 organic visits/month within 60 days.</w:t>
            </w:r>
          </w:p>
        </w:tc>
      </w:tr>
      <w:tr>
        <w:trPr>
          <w:tblHeader w:val="false"/>
        </w:trPr>
        <w:tc>
          <w:tcPr>
            <w:tcW w:type="dxa" w:w="1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Phase 3 — Coverage expansion</w:t>
            </w:r>
          </w:p>
        </w:tc>
        <w:tc>
          <w:tcPr>
            <w:tcW w:type="dxa" w:w="17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Weeks 10–16</w:t>
            </w:r>
          </w:p>
        </w:tc>
        <w:tc>
          <w:tcPr>
            <w:tcW w:type="dxa" w:w="38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Add 10 more P1/P2 portals + Airbnb/Booking for short-term. Add user accounts, favorites, request-viewing flow.</w:t>
            </w:r>
          </w:p>
        </w:tc>
        <w:tc>
          <w:tcPr>
            <w:tcW w:type="dxa" w:w="2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≥25 sources, ≥25,000 listings.</w:t>
            </w:r>
          </w:p>
        </w:tc>
      </w:tr>
      <w:tr>
        <w:trPr>
          <w:tblHeader w:val="false"/>
        </w:trPr>
        <w:tc>
          <w:tcPr>
            <w:tcW w:type="dxa" w:w="19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Phase 4 — Monetization</w:t>
            </w:r>
          </w:p>
        </w:tc>
        <w:tc>
          <w:tcPr>
            <w:tcW w:type="dxa" w:w="17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Weeks 14–20</w:t>
            </w:r>
          </w:p>
        </w:tc>
        <w:tc>
          <w:tcPr>
            <w:tcW w:type="dxa" w:w="38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Featured-listing slots, agency pro accounts, qualified-lead routing, native ads. Begin paid acquisition.</w:t>
            </w:r>
          </w:p>
        </w:tc>
        <w:tc>
          <w:tcPr>
            <w:tcW w:type="dxa" w:w="2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First commercial revenue.</w:t>
            </w:r>
          </w:p>
        </w:tc>
      </w:tr>
      <w:tr>
        <w:trPr>
          <w:tblHeader w:val="false"/>
        </w:trPr>
        <w:tc>
          <w:tcPr>
            <w:tcW w:type="dxa" w:w="19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Phase 5 — Growth</w:t>
            </w:r>
          </w:p>
        </w:tc>
        <w:tc>
          <w:tcPr>
            <w:tcW w:type="dxa" w:w="17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Month 6+</w:t>
            </w:r>
          </w:p>
        </w:tc>
        <w:tc>
          <w:tcPr>
            <w:tcW w:type="dxa" w:w="38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Latvian-language SEO content engine, Telegram/WhatsApp alerts, mobile PWA, partnership integrations with relocation services.</w:t>
            </w:r>
          </w:p>
        </w:tc>
        <w:tc>
          <w:tcPr>
            <w:tcW w:type="dxa" w:w="2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Category leader in Riga rental search.</w:t>
            </w:r>
          </w:p>
        </w:tc>
      </w:tr>
    </w:tbl>
    <w:p>
      <w:pPr>
        <w:spacing w:after="120"/>
      </w:pPr>
      <w:r>
        <w:rPr>
          <w:rFonts w:ascii="Calibri" w:cs="Calibri" w:eastAsia="Calibri" w:hAnsi="Calibri"/>
          <w:sz w:val="22"/>
          <w:szCs w:val="22"/>
        </w:rPr>
        <w:t xml:space="preserve"> </w:t>
      </w:r>
    </w:p>
    <w:p>
      <w:pPr>
        <w:pStyle w:val="Heading3"/>
        <w:spacing w:after="80" w:before="200"/>
      </w:pPr>
      <w:r>
        <w:rPr>
          <w:rFonts w:ascii="Calibri" w:cs="Calibri" w:eastAsia="Calibri" w:hAnsi="Calibri"/>
          <w:b/>
          <w:bCs/>
          <w:color w:val="0D6B6B"/>
          <w:sz w:val="24"/>
          <w:szCs w:val="24"/>
        </w:rPr>
        <w:t xml:space="preserve">Team to deliver Phase 1–2</w:t>
      </w:r>
    </w:p>
    <w:p>
      <w:pPr>
        <w:pStyle w:val="ListParagraph"/>
        <w:numPr>
          <w:ilvl w:val="0"/>
          <w:numId w:val="2"/>
        </w:numPr>
        <w:spacing w:after="60"/>
      </w:pPr>
      <w:r>
        <w:rPr>
          <w:rFonts w:ascii="Calibri" w:cs="Calibri" w:eastAsia="Calibri" w:hAnsi="Calibri"/>
          <w:sz w:val="22"/>
          <w:szCs w:val="22"/>
        </w:rPr>
        <w:t xml:space="preserve">1 full-stack engineer (Next.js + Node/Python) — owner of the frontend and API.</w:t>
      </w:r>
    </w:p>
    <w:p>
      <w:pPr>
        <w:pStyle w:val="ListParagraph"/>
        <w:numPr>
          <w:ilvl w:val="0"/>
          <w:numId w:val="2"/>
        </w:numPr>
        <w:spacing w:after="60"/>
      </w:pPr>
      <w:r>
        <w:rPr>
          <w:rFonts w:ascii="Calibri" w:cs="Calibri" w:eastAsia="Calibri" w:hAnsi="Calibri"/>
          <w:sz w:val="22"/>
          <w:szCs w:val="22"/>
        </w:rPr>
        <w:t xml:space="preserve">1 backend/scraping engineer (Python + Playwright) — owner of the scraper fleet and dedup engine.</w:t>
      </w:r>
    </w:p>
    <w:p>
      <w:pPr>
        <w:pStyle w:val="ListParagraph"/>
        <w:numPr>
          <w:ilvl w:val="0"/>
          <w:numId w:val="2"/>
        </w:numPr>
        <w:spacing w:after="60"/>
      </w:pPr>
      <w:r>
        <w:rPr>
          <w:rFonts w:ascii="Calibri" w:cs="Calibri" w:eastAsia="Calibri" w:hAnsi="Calibri"/>
          <w:sz w:val="22"/>
          <w:szCs w:val="22"/>
        </w:rPr>
        <w:t xml:space="preserve">1 part-time designer — refines the demo's design system into a production component library.</w:t>
      </w:r>
    </w:p>
    <w:p>
      <w:pPr>
        <w:pStyle w:val="ListParagraph"/>
        <w:numPr>
          <w:ilvl w:val="0"/>
          <w:numId w:val="2"/>
        </w:numPr>
        <w:spacing w:after="60"/>
      </w:pPr>
      <w:r>
        <w:rPr>
          <w:rFonts w:ascii="Calibri" w:cs="Calibri" w:eastAsia="Calibri" w:hAnsi="Calibri"/>
          <w:sz w:val="22"/>
          <w:szCs w:val="22"/>
        </w:rPr>
        <w:t xml:space="preserve">Founder/PM — sourcing partnerships, SEO content commissioning, agency outreach.</w:t>
      </w:r>
    </w:p>
    <w:p>
      <w:pPr>
        <w:pStyle w:val="Heading1"/>
        <w:spacing w:after="180" w:before="360"/>
      </w:pPr>
      <w:r>
        <w:rPr>
          <w:rFonts w:ascii="Calibri" w:cs="Calibri" w:eastAsia="Calibri" w:hAnsi="Calibri"/>
          <w:b/>
          <w:bCs/>
          <w:color w:val="0D6B6B"/>
          <w:sz w:val="36"/>
          <w:szCs w:val="36"/>
        </w:rPr>
        <w:t xml:space="preserve">10. Risk Register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800"/>
      </w:tblGrid>
      <w:tr>
        <w:trPr>
          <w:tblHeader/>
        </w:trPr>
        <w:tc>
          <w:tcPr>
            <w:tcW w:type="dxa" w:w="30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Risk</w:t>
            </w:r>
          </w:p>
        </w:tc>
        <w:tc>
          <w:tcPr>
            <w:tcW w:type="dxa" w:w="16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Likelihood</w:t>
            </w:r>
          </w:p>
        </w:tc>
        <w:tc>
          <w:tcPr>
            <w:tcW w:type="dxa" w:w="4800"/>
            <w:tcBorders>
              <w:top w:val="single" w:color="D8DEE8" w:sz="4"/>
              <w:left w:val="single" w:color="D8DEE8" w:sz="4"/>
              <w:bottom w:val="single" w:color="D8DEE8" w:sz="4"/>
              <w:right w:val="single" w:color="D8DEE8" w:sz="4"/>
            </w:tcBorders>
            <w:shd w:fill="0D6B6B" w:val="clear"/>
            <w:tcMar>
              <w:top w:type="dxa" w:w="100"/>
              <w:left w:type="dxa" w:w="140"/>
              <w:bottom w:type="dxa" w:w="100"/>
              <w:right w:type="dxa" w:w="140"/>
            </w:tcMar>
          </w:tcPr>
          <w:p>
            <w:r>
              <w:rPr>
                <w:rFonts w:ascii="Calibri" w:cs="Calibri" w:eastAsia="Calibri" w:hAnsi="Calibri"/>
                <w:b/>
                <w:bCs/>
                <w:color w:val="FFFFFF"/>
                <w:sz w:val="20"/>
                <w:szCs w:val="20"/>
              </w:rPr>
              <w:t xml:space="preserve">Mitigation</w:t>
            </w:r>
          </w:p>
        </w:tc>
      </w:tr>
      <w:tr>
        <w:trPr>
          <w:tblHeader w:val="false"/>
        </w:trPr>
        <w:tc>
          <w:tcPr>
            <w:tcW w:type="dxa" w:w="3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Source portal blocks our crawler (Cloudflare, rate limit, ToS letter).</w:t>
            </w:r>
          </w:p>
        </w:tc>
        <w:tc>
          <w:tcPr>
            <w:tcW w:type="dxa" w:w="1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High</w:t>
            </w:r>
          </w:p>
        </w:tc>
        <w:tc>
          <w:tcPr>
            <w:tcW w:type="dxa" w:w="48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Rotate residential proxies, respect robots.txt, throttle to &lt;0.5 req/sec per source, identify with friendly UA, attempt partnership / data-sharing first.</w:t>
            </w:r>
          </w:p>
        </w:tc>
      </w:tr>
      <w:tr>
        <w:trPr>
          <w:tblHeader w:val="false"/>
        </w:trPr>
        <w:tc>
          <w:tcPr>
            <w:tcW w:type="dxa" w:w="3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Copyright / database-rights claim on listing text &amp; photos.</w:t>
            </w:r>
          </w:p>
        </w:tc>
        <w:tc>
          <w:tcPr>
            <w:tcW w:type="dxa" w:w="1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Medium</w:t>
            </w:r>
          </w:p>
        </w:tc>
        <w:tc>
          <w:tcPr>
            <w:tcW w:type="dxa" w:w="48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Show only abstracts (&lt;200 chars), link to source for full description, mirror only thumbnail images with attribution, take-down on request within 24h.</w:t>
            </w:r>
          </w:p>
        </w:tc>
      </w:tr>
      <w:tr>
        <w:trPr>
          <w:tblHeader w:val="false"/>
        </w:trPr>
        <w:tc>
          <w:tcPr>
            <w:tcW w:type="dxa" w:w="3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Personal data exposed in listings (phone numbers).</w:t>
            </w:r>
          </w:p>
        </w:tc>
        <w:tc>
          <w:tcPr>
            <w:tcW w:type="dxa" w:w="1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Medium</w:t>
            </w:r>
          </w:p>
        </w:tc>
        <w:tc>
          <w:tcPr>
            <w:tcW w:type="dxa" w:w="48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Mask contact info; route enquiries through our forwarding form; comply with GDPR (DPA in place; data retention max 90 days after listing removed).</w:t>
            </w:r>
          </w:p>
        </w:tc>
      </w:tr>
      <w:tr>
        <w:trPr>
          <w:tblHeader w:val="false"/>
        </w:trPr>
        <w:tc>
          <w:tcPr>
            <w:tcW w:type="dxa" w:w="3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Deduplication false-positives merge two real listings.</w:t>
            </w:r>
          </w:p>
        </w:tc>
        <w:tc>
          <w:tcPr>
            <w:tcW w:type="dxa" w:w="1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Medium</w:t>
            </w:r>
          </w:p>
        </w:tc>
        <w:tc>
          <w:tcPr>
            <w:tcW w:type="dxa" w:w="48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Hybrid dedup (address + area + price + image hash). Manual review queue for ambiguous matches in first 6 months.</w:t>
            </w:r>
          </w:p>
        </w:tc>
      </w:tr>
      <w:tr>
        <w:trPr>
          <w:tblHeader w:val="false"/>
        </w:trPr>
        <w:tc>
          <w:tcPr>
            <w:tcW w:type="dxa" w:w="30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Scraper drift (source HTML changes, silent breakage).</w:t>
            </w:r>
          </w:p>
        </w:tc>
        <w:tc>
          <w:tcPr>
            <w:tcW w:type="dxa" w:w="16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High</w:t>
            </w:r>
          </w:p>
        </w:tc>
        <w:tc>
          <w:tcPr>
            <w:tcW w:type="dxa" w:w="4800"/>
            <w:tcBorders>
              <w:top w:val="single" w:color="D8DEE8" w:sz="4"/>
              <w:left w:val="single" w:color="D8DEE8" w:sz="4"/>
              <w:bottom w:val="single" w:color="D8DEE8" w:sz="4"/>
              <w:right w:val="single" w:color="D8DEE8" w:sz="4"/>
            </w:tcBorders>
            <w:tcMar>
              <w:top w:type="dxa" w:w="100"/>
              <w:left w:type="dxa" w:w="140"/>
              <w:bottom w:type="dxa" w:w="100"/>
              <w:right w:type="dxa" w:w="140"/>
            </w:tcMar>
          </w:tcPr>
          <w:p>
            <w:r>
              <w:rPr>
                <w:rFonts w:ascii="Calibri" w:cs="Calibri" w:eastAsia="Calibri" w:hAnsi="Calibri"/>
                <w:b w:val="false"/>
                <w:bCs w:val="false"/>
                <w:color w:val="0B1220"/>
                <w:sz w:val="20"/>
                <w:szCs w:val="20"/>
              </w:rPr>
              <w:t xml:space="preserve">Per-source healthcheck (alert if new-listing count drops &gt;40% vs 7-day moving average). Schema snapshots; one engineer on weekly maintenance rotation.</w:t>
            </w:r>
          </w:p>
        </w:tc>
      </w:tr>
      <w:tr>
        <w:trPr>
          <w:tblHeader w:val="false"/>
        </w:trPr>
        <w:tc>
          <w:tcPr>
            <w:tcW w:type="dxa" w:w="30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Unit economics fail — paid traffic costlier than monetization.</w:t>
            </w:r>
          </w:p>
        </w:tc>
        <w:tc>
          <w:tcPr>
            <w:tcW w:type="dxa" w:w="16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Medium</w:t>
            </w:r>
          </w:p>
        </w:tc>
        <w:tc>
          <w:tcPr>
            <w:tcW w:type="dxa" w:w="4800"/>
            <w:tcBorders>
              <w:top w:val="single" w:color="D8DEE8" w:sz="4"/>
              <w:left w:val="single" w:color="D8DEE8" w:sz="4"/>
              <w:bottom w:val="single" w:color="D8DEE8" w:sz="4"/>
              <w:right w:val="single" w:color="D8DEE8" w:sz="4"/>
            </w:tcBorders>
            <w:shd w:fill="F4F6FB" w:val="clear"/>
            <w:tcMar>
              <w:top w:type="dxa" w:w="100"/>
              <w:left w:type="dxa" w:w="140"/>
              <w:bottom w:type="dxa" w:w="100"/>
              <w:right w:type="dxa" w:w="140"/>
            </w:tcMar>
          </w:tcPr>
          <w:p>
            <w:r>
              <w:rPr>
                <w:rFonts w:ascii="Calibri" w:cs="Calibri" w:eastAsia="Calibri" w:hAnsi="Calibri"/>
                <w:b w:val="false"/>
                <w:bCs w:val="false"/>
                <w:color w:val="0B1220"/>
                <w:sz w:val="20"/>
                <w:szCs w:val="20"/>
              </w:rPr>
              <w:t xml:space="preserve">Lead with organic SEO + agency partnerships; defer paid acquisition until LTV &gt; CAC is proven on a small cohort.</w:t>
            </w:r>
          </w:p>
        </w:tc>
      </w:tr>
    </w:tbl>
    <w:p>
      <w:pPr>
        <w:pStyle w:val="Heading1"/>
        <w:spacing w:after="180" w:before="360"/>
      </w:pPr>
      <w:r>
        <w:rPr>
          <w:rFonts w:ascii="Calibri" w:cs="Calibri" w:eastAsia="Calibri" w:hAnsi="Calibri"/>
          <w:b/>
          <w:bCs/>
          <w:color w:val="0D6B6B"/>
          <w:sz w:val="36"/>
          <w:szCs w:val="36"/>
        </w:rPr>
        <w:t xml:space="preserve">11. Companion Demo</w:t>
      </w:r>
    </w:p>
    <w:p>
      <w:pPr>
        <w:spacing w:after="120"/>
      </w:pPr>
      <w:r>
        <w:rPr>
          <w:rFonts w:ascii="Calibri" w:cs="Calibri" w:eastAsia="Calibri" w:hAnsi="Calibri"/>
          <w:sz w:val="22"/>
          <w:szCs w:val="22"/>
        </w:rPr>
        <w:t xml:space="preserve">Alongside this document, the RentRiga folder contains a working demo of the portal built in vanilla HTML/CSS/JavaScript — no build step needed. Open any of these files in a browser:</w:t>
      </w:r>
    </w:p>
    <w:p>
      <w:pPr>
        <w:pStyle w:val="ListParagraph"/>
        <w:numPr>
          <w:ilvl w:val="0"/>
          <w:numId w:val="2"/>
        </w:numPr>
        <w:spacing w:after="60"/>
      </w:pPr>
      <w:r>
        <w:rPr>
          <w:rFonts w:ascii="Calibri" w:cs="Calibri" w:eastAsia="Calibri" w:hAnsi="Calibri"/>
          <w:sz w:val="22"/>
          <w:szCs w:val="22"/>
        </w:rPr>
        <w:t xml:space="preserve">index.html — homepage with hero, search, categories, featured listings, sources strip.</w:t>
      </w:r>
    </w:p>
    <w:p>
      <w:pPr>
        <w:pStyle w:val="ListParagraph"/>
        <w:numPr>
          <w:ilvl w:val="0"/>
          <w:numId w:val="2"/>
        </w:numPr>
        <w:spacing w:after="60"/>
      </w:pPr>
      <w:r>
        <w:rPr>
          <w:rFonts w:ascii="Calibri" w:cs="Calibri" w:eastAsia="Calibri" w:hAnsi="Calibri"/>
          <w:sz w:val="22"/>
          <w:szCs w:val="22"/>
        </w:rPr>
        <w:t xml:space="preserve">listings.html — search results with filters, sort, grid/list/map views, pagination.</w:t>
      </w:r>
    </w:p>
    <w:p>
      <w:pPr>
        <w:pStyle w:val="ListParagraph"/>
        <w:numPr>
          <w:ilvl w:val="0"/>
          <w:numId w:val="2"/>
        </w:numPr>
        <w:spacing w:after="60"/>
      </w:pPr>
      <w:r>
        <w:rPr>
          <w:rFonts w:ascii="Calibri" w:cs="Calibri" w:eastAsia="Calibri" w:hAnsi="Calibri"/>
          <w:sz w:val="22"/>
          <w:szCs w:val="22"/>
        </w:rPr>
        <w:t xml:space="preserve">listing.html?id=a-1003 — detail page with gallery, key facts, amenities, map, similar listings, contact form.</w:t>
      </w:r>
    </w:p>
    <w:p>
      <w:pPr>
        <w:spacing w:after="120"/>
      </w:pPr>
      <w:r>
        <w:rPr>
          <w:rFonts w:ascii="Calibri" w:cs="Calibri" w:eastAsia="Calibri" w:hAnsi="Calibri"/>
          <w:sz w:val="22"/>
          <w:szCs w:val="22"/>
        </w:rPr>
        <w:t xml:space="preserve">The demo includes:</w:t>
      </w:r>
    </w:p>
    <w:p>
      <w:pPr>
        <w:pStyle w:val="ListParagraph"/>
        <w:numPr>
          <w:ilvl w:val="0"/>
          <w:numId w:val="2"/>
        </w:numPr>
        <w:spacing w:after="60"/>
      </w:pPr>
      <w:r>
        <w:rPr>
          <w:rFonts w:ascii="Calibri" w:cs="Calibri" w:eastAsia="Calibri" w:hAnsi="Calibri"/>
          <w:sz w:val="22"/>
          <w:szCs w:val="22"/>
        </w:rPr>
        <w:t xml:space="preserve">Multi-language switcher (EN / LV / RU) with persistent preference, covering all UI strings.</w:t>
      </w:r>
    </w:p>
    <w:p>
      <w:pPr>
        <w:pStyle w:val="ListParagraph"/>
        <w:numPr>
          <w:ilvl w:val="0"/>
          <w:numId w:val="2"/>
        </w:numPr>
        <w:spacing w:after="60"/>
      </w:pPr>
      <w:r>
        <w:rPr>
          <w:rFonts w:ascii="Calibri" w:cs="Calibri" w:eastAsia="Calibri" w:hAnsi="Calibri"/>
          <w:sz w:val="22"/>
          <w:szCs w:val="22"/>
        </w:rPr>
        <w:t xml:space="preserve">Forty-plus sample listings spanning apartments, houses, commercial spaces, and short-term — drawn from 13 different sources to exercise the aggregation UX.</w:t>
      </w:r>
    </w:p>
    <w:p>
      <w:pPr>
        <w:pStyle w:val="ListParagraph"/>
        <w:numPr>
          <w:ilvl w:val="0"/>
          <w:numId w:val="2"/>
        </w:numPr>
        <w:spacing w:after="60"/>
      </w:pPr>
      <w:r>
        <w:rPr>
          <w:rFonts w:ascii="Calibri" w:cs="Calibri" w:eastAsia="Calibri" w:hAnsi="Calibri"/>
          <w:sz w:val="22"/>
          <w:szCs w:val="22"/>
        </w:rPr>
        <w:t xml:space="preserve">Source attribution badges, verified/premium/new tags, and direct 'view source' links matching the planned production policy.</w:t>
      </w:r>
    </w:p>
    <w:p>
      <w:pPr>
        <w:pStyle w:val="ListParagraph"/>
        <w:numPr>
          <w:ilvl w:val="0"/>
          <w:numId w:val="2"/>
        </w:numPr>
        <w:spacing w:after="60"/>
      </w:pPr>
      <w:r>
        <w:rPr>
          <w:rFonts w:ascii="Calibri" w:cs="Calibri" w:eastAsia="Calibri" w:hAnsi="Calibri"/>
          <w:sz w:val="22"/>
          <w:szCs w:val="22"/>
        </w:rPr>
        <w:t xml:space="preserve">JSON-LD structured data on listing pages, hreflang link tags, and SEO-friendly canonical URLs.</w:t>
      </w:r>
    </w:p>
    <w:p>
      <w:pPr>
        <w:spacing w:after="120"/>
      </w:pPr>
      <w:r>
        <w:rPr>
          <w:rFonts w:ascii="Calibri" w:cs="Calibri" w:eastAsia="Calibri" w:hAnsi="Calibri"/>
          <w:sz w:val="22"/>
          <w:szCs w:val="22"/>
        </w:rPr>
        <w:t xml:space="preserve">The visual design system established in the demo (deep-teal + warm-amber palette, Fraunces display + Inter UI typography, generous whitespace, soft shadows) should be carried through to the production Next.js build.</w:t>
      </w:r>
    </w:p>
    <w:p>
      <w:pPr>
        <w:pStyle w:val="Heading1"/>
        <w:spacing w:after="180" w:before="360"/>
      </w:pPr>
      <w:r>
        <w:rPr>
          <w:rFonts w:ascii="Calibri" w:cs="Calibri" w:eastAsia="Calibri" w:hAnsi="Calibri"/>
          <w:b/>
          <w:bCs/>
          <w:color w:val="0D6B6B"/>
          <w:sz w:val="36"/>
          <w:szCs w:val="36"/>
        </w:rPr>
        <w:t xml:space="preserve">12. Recommended Next Steps</w:t>
      </w:r>
    </w:p>
    <w:p>
      <w:pPr>
        <w:pStyle w:val="ListParagraph"/>
        <w:numPr>
          <w:ilvl w:val="0"/>
          <w:numId w:val="3"/>
        </w:numPr>
        <w:spacing w:after="60"/>
      </w:pPr>
      <w:r>
        <w:rPr>
          <w:rFonts w:ascii="Calibri" w:cs="Calibri" w:eastAsia="Calibri" w:hAnsi="Calibri"/>
          <w:sz w:val="22"/>
          <w:szCs w:val="22"/>
        </w:rPr>
        <w:t xml:space="preserve">Review the companion HTML demo and approve the visual direction (or request adjustments) before any code work begins.</w:t>
      </w:r>
    </w:p>
    <w:p>
      <w:pPr>
        <w:pStyle w:val="ListParagraph"/>
        <w:numPr>
          <w:ilvl w:val="0"/>
          <w:numId w:val="3"/>
        </w:numPr>
        <w:spacing w:after="60"/>
      </w:pPr>
      <w:r>
        <w:rPr>
          <w:rFonts w:ascii="Calibri" w:cs="Calibri" w:eastAsia="Calibri" w:hAnsi="Calibri"/>
          <w:sz w:val="22"/>
          <w:szCs w:val="22"/>
        </w:rPr>
        <w:t xml:space="preserve">Engage a Latvian IT/IP lawyer for a one-page legal opinion on the aggregator posture in section 3.</w:t>
      </w:r>
    </w:p>
    <w:p>
      <w:pPr>
        <w:pStyle w:val="ListParagraph"/>
        <w:numPr>
          <w:ilvl w:val="0"/>
          <w:numId w:val="3"/>
        </w:numPr>
        <w:spacing w:after="60"/>
      </w:pPr>
      <w:r>
        <w:rPr>
          <w:rFonts w:ascii="Calibri" w:cs="Calibri" w:eastAsia="Calibri" w:hAnsi="Calibri"/>
          <w:sz w:val="22"/>
          <w:szCs w:val="22"/>
        </w:rPr>
        <w:t xml:space="preserve">Open partnership conversations with city24.lv, mm.lv, latio.lv and ober-haus.lv. A licensed feed from even one of these significantly reduces scraping risk and engineering cost.</w:t>
      </w:r>
    </w:p>
    <w:p>
      <w:pPr>
        <w:pStyle w:val="ListParagraph"/>
        <w:numPr>
          <w:ilvl w:val="0"/>
          <w:numId w:val="3"/>
        </w:numPr>
        <w:spacing w:after="60"/>
      </w:pPr>
      <w:r>
        <w:rPr>
          <w:rFonts w:ascii="Calibri" w:cs="Calibri" w:eastAsia="Calibri" w:hAnsi="Calibri"/>
          <w:sz w:val="22"/>
          <w:szCs w:val="22"/>
        </w:rPr>
        <w:t xml:space="preserve">Hire the Phase 1 engineering team (2 engineers) and provision baseline infrastructure (Hetzner VMs, Cloudflare, S3, Postmark).</w:t>
      </w:r>
    </w:p>
    <w:p>
      <w:pPr>
        <w:pStyle w:val="ListParagraph"/>
        <w:numPr>
          <w:ilvl w:val="0"/>
          <w:numId w:val="3"/>
        </w:numPr>
        <w:spacing w:after="60"/>
      </w:pPr>
      <w:r>
        <w:rPr>
          <w:rFonts w:ascii="Calibri" w:cs="Calibri" w:eastAsia="Calibri" w:hAnsi="Calibri"/>
          <w:sz w:val="22"/>
          <w:szCs w:val="22"/>
        </w:rPr>
        <w:t xml:space="preserve">Lock in the brand and trademark RentRiga across .com / .lv / .eu, and verify the design with target users (renter and landlord interviews).</w:t>
      </w:r>
    </w:p>
    <w:p>
      <w:pPr>
        <w:pStyle w:val="ListParagraph"/>
        <w:numPr>
          <w:ilvl w:val="0"/>
          <w:numId w:val="3"/>
        </w:numPr>
        <w:spacing w:after="60"/>
      </w:pPr>
      <w:r>
        <w:rPr>
          <w:rFonts w:ascii="Calibri" w:cs="Calibri" w:eastAsia="Calibri" w:hAnsi="Calibri"/>
          <w:sz w:val="22"/>
          <w:szCs w:val="22"/>
        </w:rPr>
        <w:t xml:space="preserve">Commission a Latvian/Russian-language SEO content plan — 24 cornerstone articles to publish across Months 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D6B6B"/>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B1220"/>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D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RentRiga — Architecture &amp; Strategy</dc:title>
  <dc:creator>RentRiga</dc:creator>
  <cp:lastModifiedBy>Un-named</cp:lastModifiedBy>
  <cp:revision>1</cp:revision>
  <dcterms:created xsi:type="dcterms:W3CDTF">2026-05-21T07:54:53.707Z</dcterms:created>
  <dcterms:modified xsi:type="dcterms:W3CDTF">2026-05-21T07:54:53.707Z</dcterms:modified>
</cp:coreProperties>
</file>

<file path=docProps/custom.xml><?xml version="1.0" encoding="utf-8"?>
<Properties xmlns="http://schemas.openxmlformats.org/officeDocument/2006/custom-properties" xmlns:vt="http://schemas.openxmlformats.org/officeDocument/2006/docPropsVTypes"/>
</file>