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3680" w:after="320"/>
        <w:jc w:val="center"/>
        <w:pBdr>
          <w:bottom w:val="single" w:sz="8" w:space="8" w:color="4472C4"/>
        </w:pBdr>
      </w:pPr>
      <w:r>
        <w:t>Enterprise Master Policy</w:t>
      </w:r>
    </w:p>
    <w:p>
      <w:pPr>
        <w:pStyle w:val="Subtitle"/>
      </w:pPr>
      <w:r>
        <w:t>Insurance</w:t>
      </w:r>
    </w:p>
    <w:p/>
    <w:p>
      <w:pPr>
        <w:pStyle w:val="Subtitle"/>
      </w:pPr>
      <w:r>
        <w:t>Enterprise Governance Master Policy</w:t>
      </w:r>
    </w:p>
    <w:p>
      <w:r>
        <w:br w:type="page"/>
      </w:r>
    </w:p>
    <w:p>
      <w:pPr>
        <w:pStyle w:val="Heading1"/>
      </w:pPr>
      <w:r>
        <w:t>Document Information</w:t>
      </w:r>
    </w:p>
    <w:tbl>
      <w:tblPr>
        <w:tblStyle w:val="TableGrid"/>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4824"/>
        <w:gridCol w:w="4824"/>
      </w:tblGrid>
      <w:tr>
        <w:trPr>
          <w:cantSplit/>
          <w:tblHeader w:val="true"/>
        </w:trPr>
        <w:tc>
          <w:tcPr>
            <w:tcW w:type="dxa" w:w="4824"/>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Attribute</w:t>
            </w:r>
          </w:p>
        </w:tc>
        <w:tc>
          <w:tcPr>
            <w:tcW w:type="dxa" w:w="4824"/>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Value</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Industry</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Insurance</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Region</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Business Domain</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Generation Type</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Master</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Client Name</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Additional Context</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Applicable Regulations</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Policy Owner</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Policy Custodian</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Approval Authority</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Version</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1.0</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Effective Date</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24-Sep-2026</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Review Frequency</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Annual and Upon Material Change</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Classification</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Internal</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Version History</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Version 1.0 - Initial Release - 24-Sep-2026</w:t>
            </w:r>
          </w:p>
        </w:tc>
      </w:tr>
    </w:tbl>
    <w:p>
      <w:r>
        <w:br w:type="page"/>
      </w:r>
    </w:p>
    <w:p>
      <w:pPr>
        <w:pStyle w:val="Heading1"/>
      </w:pPr>
      <w:r>
        <w:t>Table of Contents</w:t>
      </w:r>
    </w:p>
    <w:p>
      <w:r>
        <w:fldChar w:fldCharType="begin"/>
        <w:instrText xml:space="preserve"> TOC \o "1-3" \h \z \u </w:instrText>
        <w:fldChar w:fldCharType="separate"/>
        <w:t>Right-click to update the Table of Contents.</w:t>
        <w:fldChar w:fldCharType="end"/>
      </w:r>
    </w:p>
    <w:p>
      <w:pPr>
        <w:pStyle w:val="Heading1"/>
        <w:pageBreakBefore w:val="0"/>
      </w:pPr>
      <w:r>
        <w:t>1 Executive Summary</w:t>
      </w:r>
    </w:p>
    <w:p>
      <w:pPr>
        <w:spacing w:after="120"/>
      </w:pPr>
      <w:r>
        <w:t>This Enterprise Master Policy establishes the authoritative governance framework for enterprise data across the global insurance organization. It exists to define the policy-level mandate, accountabilities, and portfolio of downstream Specific Policies that collectively ensure data is managed as a strategic asset, protected to meet legal and contractual obligations, and fit for the operational, regulatory, actuarial, underwriting, claims, distribution, and financial reporting needs of the insurance business.</w:t>
      </w:r>
    </w:p>
    <w:p>
      <w:pPr>
        <w:spacing w:after="120"/>
      </w:pPr>
      <w:r>
        <w:t>Enterprise governance objectives include: establishing clear ownership and stewardship for core insurance data domains; ensuring data quality, lineage, and metadata to support underwriting, claims adjudication, pricing, reinsurance, and regulatory reporting; protecting personal and sensitive information across jurisdictions; enabling secure data sharing with distribution partners, reinsurers, vendors, and regulators; and providing assurance through controls, oversight, and auditability.</w:t>
      </w:r>
    </w:p>
    <w:p>
      <w:pPr>
        <w:spacing w:after="120"/>
      </w:pPr>
      <w:r>
        <w:t>Business value derived from this Master Policy includes improved risk management and underwriting accuracy, faster and higher confidence regulatory reporting, reduced operational cost and leakage in claims and billing, improved distribution partner integrations, enhanced actuarial and analytics capability, and strengthened customer trust through privacy and security practices.</w:t>
      </w:r>
    </w:p>
    <w:p>
      <w:pPr>
        <w:spacing w:after="120"/>
      </w:pPr>
      <w:r>
        <w:t>Intended audience comprises executive leadership, the Chief Data Officer and enterprise data function, the Data Governance Council, business data owners and domain owners (underwriting, claims, actuarial, distribution, finance), data stewards, IT and platform custodians, Information Security, Privacy / Data Protection Officers, Compliance, Risk Management, Legal, Internal Audit, project and delivery teams, and third-party data processors.</w:t>
      </w:r>
    </w:p>
    <w:p>
      <w:pPr>
        <w:spacing w:after="120"/>
      </w:pPr>
      <w:r>
        <w:t>This Master Policy is the parent authority for downstream Specific Policies. It defines the enterprise-level scope, roles, and policy catalogue; mandates that domain- and function-specific Specific Policies implement detailed controls, standards, and procedures aligned to the enterprise principles herein; and requires that all Specific Policies be approved, versioned, and maintained under the governance processes established by the Chief Data Officer and the Data Governance Council.</w:t>
      </w:r>
    </w:p>
    <w:p>
      <w:pPr>
        <w:pStyle w:val="Heading1"/>
        <w:pageBreakBefore w:val="0"/>
      </w:pPr>
      <w:r>
        <w:t>2 Scope</w:t>
      </w:r>
    </w:p>
    <w:p>
      <w:pPr>
        <w:pStyle w:val="Heading2"/>
        <w:pageBreakBefore w:val="0"/>
      </w:pPr>
      <w:r>
        <w:t>2.1 Organizational Scope</w:t>
      </w:r>
    </w:p>
    <w:p>
      <w:pPr>
        <w:spacing w:after="120"/>
      </w:pPr>
      <w:r>
        <w:t>This policy applies to all legal entities, subsidiaries, branches, business units, affiliates, and joint ventures in which the enterprise exercises governance authority. It governs data created, received, processed, transmitted, stored, or disposed by any enterprise organizational unit worldwide, including wholly owned subsidiaries and business units operating under local brands. Where local regulatory regimes require supplemental or stricter controls, Specific Policies shall reflect those requirements while aligning to this Master Policy. Where contractual arrangements or joint-venture governance limit direct enterprise control, parties remain accountable for ensuring compliance with applicable portions of this Master Policy through contractual and governance mechanisms.</w:t>
      </w:r>
    </w:p>
    <w:p>
      <w:pPr>
        <w:pStyle w:val="Heading2"/>
        <w:pageBreakBefore w:val="0"/>
      </w:pPr>
      <w:r>
        <w:t>2.2 Business Scope</w:t>
      </w:r>
    </w:p>
    <w:p>
      <w:pPr>
        <w:spacing w:after="120"/>
      </w:pPr>
      <w:r>
        <w:t>This Master Policy governs core insurance business functions and capabilities including distribution and agency management, policy administration, underwriting, pricing and actuarial analysis, claims intake and adjudication, billing and collections, reinsurance placement and recovery, finance and regulatory reporting, fraud investigation, provider and network management (for health products), customer service and retention, and analytics supporting product development and risk management. It applies to business processes that capture, transform, validate, and consume enterprise data across these capabilities.</w:t>
      </w:r>
    </w:p>
    <w:p>
      <w:pPr>
        <w:pStyle w:val="Heading2"/>
        <w:pageBreakBefore w:val="0"/>
      </w:pPr>
      <w:r>
        <w:t>2.3 Data Scope</w:t>
      </w:r>
    </w:p>
    <w:p>
      <w:pPr>
        <w:spacing w:after="120"/>
      </w:pPr>
      <w:r>
        <w:t>The policy covers all enterprise data types relevant to insurance operations: master data (e.g., parties, policies, producers), reference data, transactional data (e.g., premiums, claims transactions, payments), metadata (business definitions, lineage, data quality rules), analytical and model inputs/outputs (actuarial and predictive models), documents and case data (policy documents, claims files, medical records where applicable), and consent and communication records. Both structured and unstructured data falling within these categories are governed. System-of-record and derived analytical datasets are in scope for governance controls, quality objectives, and lifecycle management.</w:t>
      </w:r>
    </w:p>
    <w:p>
      <w:pPr>
        <w:pStyle w:val="Heading2"/>
        <w:pageBreakBefore w:val="0"/>
      </w:pPr>
      <w:r>
        <w:t>2.4 Technology Scope</w:t>
      </w:r>
    </w:p>
    <w:p>
      <w:pPr>
        <w:spacing w:after="120"/>
      </w:pPr>
      <w:r>
        <w:t>Applicable technologies include core policy administration systems, claims management systems, billing and payment platforms, CRM and distribution management systems, producer/agent portals, MDM and reference-data platforms, enterprise data warehouses and data lakes, analytics and model management platforms, integration middleware and APIs, cloud infrastructure and platform services, document and case-management systems, and third-party hosted services. The policy applies to both on-premises and cloud environments, and to integration points connecting enterprise and partner systems. No vendor-specific technologies are mandated by this Master Policy.</w:t>
      </w:r>
    </w:p>
    <w:p>
      <w:pPr>
        <w:pStyle w:val="Heading2"/>
        <w:pageBreakBefore w:val="0"/>
      </w:pPr>
      <w:r>
        <w:t>2.5 Operational Scope</w:t>
      </w:r>
    </w:p>
    <w:p>
      <w:pPr>
        <w:spacing w:after="120"/>
      </w:pPr>
      <w:r>
        <w:t>Governance coverage spans the full enterprise data lifecycle: creation and capture; validation and enrichment; authoritative-source designation and approval; change control and maintenance; authorized consumption and publication; archival and long-term storage; legal holds; and secure retirement and disposition. The policy mandates lifecycle controls, evidence of approvals, and retention consistent with Records &amp; Retention obligations but does not prescribe operational procedures.</w:t>
      </w:r>
    </w:p>
    <w:p>
      <w:pPr>
        <w:pStyle w:val="Heading2"/>
        <w:pageBreakBefore w:val="0"/>
      </w:pPr>
      <w:r>
        <w:t>2.6 Stakeholder Scope</w:t>
      </w:r>
    </w:p>
    <w:p>
      <w:pPr>
        <w:spacing w:after="120"/>
      </w:pPr>
      <w:r>
        <w:t>Stakeholders include executive leadership and governance bodies, the Chief Data Officer and enterprise data team, Data Governance Council members, Business Data Owners and Domain Data Owners (underwriting, claims, actuarial, distribution, finance), Data Stewards, Business Custodians, Technology Custodians, Application Owners, Information Security, Privacy / Data Protection, Risk Management, Compliance / Regulatory Affairs, Legal, Enterprise Architecture, Project / Portfolio Management Office, Internal Audit, business users, and third-party processors, vendors, and partners engaged in processing enterprise data. All stakeholders must operate within the accountabilities defined in Section 4 and supporting Specific Policies.</w:t>
      </w:r>
    </w:p>
    <w:p>
      <w:pPr>
        <w:pStyle w:val="Heading1"/>
        <w:pageBreakBefore w:val="0"/>
      </w:pPr>
      <w:r>
        <w:t>3 Core Data Domains Covered</w:t>
      </w:r>
    </w:p>
    <w:p>
      <w:bookmarkStart w:id="10" w:name="PolicySection_10"/>
      <w:pPr>
        <w:pStyle w:val="Heading2"/>
        <w:pageBreakBefore w:val="0"/>
      </w:pPr>
      <w:r>
        <w:t>Enterprise Core Data Domains</w:t>
      </w:r>
      <w:bookmarkEnd w:id="10"/>
    </w:p>
    <w:tbl>
      <w:tblPr>
        <w:tblStyle w:val="TableGrid"/>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3216"/>
        <w:gridCol w:w="3216"/>
        <w:gridCol w:w="3216"/>
      </w:tblGrid>
      <w:tr>
        <w:trPr>
          <w:cantSplit/>
          <w:tblHeader w:val="true"/>
        </w:trPr>
        <w:tc>
          <w:tcPr>
            <w:tcW w:type="dxa" w:w="3216"/>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Core Data Domain</w:t>
            </w:r>
          </w:p>
        </w:tc>
        <w:tc>
          <w:tcPr>
            <w:tcW w:type="dxa" w:w="3216"/>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Business Description</w:t>
            </w:r>
          </w:p>
        </w:tc>
        <w:tc>
          <w:tcPr>
            <w:tcW w:type="dxa" w:w="3216"/>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Example Data</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Customer / Party</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Parties to insurance relationships including policyholders, claimants, beneficiaries, third parties, and legal entities. Critical for onboarding, KYC-like risk assessments, servicing, and regulatory reporting.</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Customer identifiers, names, contacts, KYC status, relationship roles, corporate legal entity identifiers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Policy</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Contractual insurance products and endorsements describing coverage terms, effective dates, limits, deductibles, and policy lifecycle events. Central to premium computation, claims adjudication, and regulatory reporting.</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Policy number, product code, effective/expiry dates, coverage terms, endorsements, status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Coverage / Benefit</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Specific coverages, benefit schedules, limits, and sub-limits associated with policies, including ride-ons and endorsements. Used for claims liability assessment and pricing.</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Coverage types, limits, sub-limits, exclusions, benefit schedules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Claim</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Records of reported losses, investigations, reserves, payments, recoveries, and adjudication outcomes. Core to operational expense management and claims analytics.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Claim number, loss date, reported date, reserve amounts, status, payee, payments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Underwriting &amp; Risk</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Underwriting decisions, risk assessments, rating factors, exposures, and risk selection data used for pricing and portfolio management.</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Underwriting decision records, risk scores, exposures, rating factors, submission data</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Premium, Billing &amp; Payment</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Premium calculations, billing schedules, invoice records, payment allocations, commissions, and refunds. Essential for finance, collections, and revenue recognition.</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Premium amount, billing cycle, invoice number, payment status, payment method</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Producer / Distribution</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Agents, brokers, distribution partners, producer appointments, commissions, and relationships. Critical for sales, compliance, and compensation.</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Producer ID, appointment status, commission schedules, distribution channel</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Reinsurance</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Reinsurance treaties, facultative placements, cessions, recoverables, and reinsurance accounting records. Important for risk-transfer and capital management.</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Treaty identifiers, cession terms, recoverable amounts, reinsurer details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Actuarial &amp; Pricing</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Actuarial datasets, exposure bases, loss histories, pricing models, and reserving inputs used for pricing, reserving, and capital modelling.</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Loss triangles, exposure data, model inputs/outputs, assumptions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Provider / Medical (where applicable)</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For health and medical-related products: provider networks, credentials, claims medical records, and provider billing details.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Provider identifiers, credentials, network contracts, medical procedure codes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Commission &amp; Compensation</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Commission calculations, overrides, and agent compensation records tied to sales and renewals.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Commission amounts, payment schedules, contractual terms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Financial &amp; Regulatory Reporting</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Ledgers, regulatory-specified reports, statutory reporting datasets, and reconciliations used for financial statements and regulator submissions.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General ledger mappings, statutory report feeds, regulatory submission artifacts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Document &amp; Case Management</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Policy documents, claim files, medical records, correspondence, and adjudication casework required for evidence, audit, and recordkeeping.</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Policy binders, claims files, letters, scanned documents, e-signature records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Reference Data</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Standardized codes, product catalogues, actuarial tables, geographic codes, and industry classifications used across systems.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Product codes, rating tables, currency codes, country codes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Metadata &amp; Lineage</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Business definitions, data models, lineage, quality rules, and stewardship records that enable data understanding and governance.</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Business glossary entries, lineage diagrams, data quality metrics, stewardship assignments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Consent &amp; Communication</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Customer consents, marketing preferences, communication logs, and opt-in/opt-out records required for privacy and regulatory compliance.</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Consent records, channel preferences, contact logs, consent timestamps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Fraud &amp; Investigation</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Records related to suspected fraud, investigations, referrals, and outcomes. Important for loss control and legal actions.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Fraud case IDs, investigation notes, evidence links, referral status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Supplier &amp; Third-Party</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Vendor and service-provider records supporting outsourcing, third-party processing, and contractual obligations.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Vendor IDs, contracts, service-level agreements, processor locations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Organization &amp; Legal Entity</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Corporate structure, legal entity identifiers, regulatory licenses, and corporate governance data used in regulatory reporting and contracts.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Legal entity name, registration numbers, license data, corporate relationships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Location &amp; Geospatial</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Locations relevant to risk assessment, underwriting, claims handling, and regulatory tax/jurisdictional requirements.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Addresses, geocodes, jurisdictional tags, exposure zones</w:t>
            </w:r>
          </w:p>
        </w:tc>
      </w:tr>
    </w:tbl>
    <w:p>
      <w:bookmarkStart w:id="11" w:name="PolicySection_11"/>
      <w:pPr>
        <w:pStyle w:val="Heading2"/>
        <w:pageBreakBefore w:val="0"/>
      </w:pPr>
      <w:r>
        <w:t>Domain Relationships</w:t>
      </w:r>
      <w:bookmarkEnd w:id="11"/>
    </w:p>
    <w:p>
      <w:pPr>
        <w:spacing w:after="120"/>
      </w:pPr>
      <w:r>
        <w:t>Core data domains are interdependent: Customer / Party data links to Policy records which define Coverage and determine Premium, Billing &amp; Payment flows. Claims reference Policy and Coverage records and feed into Actuarial &amp; Pricing and Financial &amp; Regulatory Reporting. Underwriting &amp; Risk data informs pricing and ties to Reinsurance arrangements for risk transfer. Producer / Distribution and Commission &amp; Compensation intersect with Policy lifecycle events and Billing data. Metadata &amp; Lineage, Reference Data, and Consent &amp; Communication provide the governance scaffolding across all domains. Document &amp; Case Management and Fraud &amp; Investigation support evidentiary and control functions. Supplier &amp; Third-Party and Organization &amp; Legal Entity domains describe control relationships and contractual responsibilities affecting data processing.</w:t>
      </w:r>
    </w:p>
    <w:p>
      <w:bookmarkStart w:id="12" w:name="PolicySection_12"/>
      <w:pPr>
        <w:pStyle w:val="Heading2"/>
        <w:pageBreakBefore w:val="0"/>
      </w:pPr>
      <w:r>
        <w:t>Domain Governance Statement</w:t>
      </w:r>
      <w:bookmarkEnd w:id="12"/>
    </w:p>
    <w:p>
      <w:pPr>
        <w:spacing w:after="120"/>
      </w:pPr>
      <w:r>
        <w:t>The Core Data Domains listed above are declared authoritative enterprise domains governed under this Enterprise Master Policy. Domain-specific custody, stewardship, quality objectives, authoritative source designations, and operational controls shall be defined and enforced by downstream Specific Policies. Domain Data Owners and Data Stewards shall ensure domain-level requirements conform to this Master Policy and are coordinated through the Data Governance Council.</w:t>
      </w:r>
    </w:p>
    <w:p>
      <w:pPr>
        <w:pStyle w:val="Heading1"/>
        <w:pageBreakBefore w:val="0"/>
      </w:pPr>
      <w:r>
        <w:t>4 Roles &amp; Responsibilities</w:t>
      </w:r>
    </w:p>
    <w:p>
      <w:bookmarkStart w:id="14" w:name="PolicySection_14"/>
      <w:pPr>
        <w:pStyle w:val="Heading2"/>
        <w:pageBreakBefore w:val="0"/>
      </w:pPr>
      <w:r>
        <w:t>Enterprise Governance Principles</w:t>
      </w:r>
      <w:bookmarkEnd w:id="14"/>
    </w:p>
    <w:p>
      <w:pPr>
        <w:spacing w:after="120"/>
      </w:pPr>
      <w:r>
        <w:t>Executive sponsorship provides strategic direction, resourcing, and escalation authority for enterprise data governance. Business accountability resides with Business Data Owners and Domain Data Owners who define fitness-for-purpose, business definitions, and acceptable use. Operational stewardship is performed by Data Stewards who maintain metadata, data quality monitoring, and remediation coordination. Technology Custodians and Application Owners are responsible for secure implementation, availability, and platform controls, while Information Security and Privacy functions define security and privacy-by-design requirements and oversight. Compliance, Risk, and Legal provide independent interpretation of regulatory and contractual obligations; Internal Audit provides independent assurance. Escalation for cross-domain conflicts follows explicit decision rights through the Data Governance Council and Executive Sponsor. This separation ensures ownership, stewardship, technical custody, oversight, and assurance remain distinct and auditable.</w:t>
      </w:r>
    </w:p>
    <w:p>
      <w:bookmarkStart w:id="15" w:name="PolicySection_15"/>
      <w:pPr>
        <w:pStyle w:val="Heading2"/>
        <w:pageBreakBefore w:val="0"/>
      </w:pPr>
      <w:r>
        <w:t>Enterprise Governance Organization</w:t>
      </w:r>
      <w:bookmarkEnd w:id="15"/>
    </w:p>
    <w:tbl>
      <w:tblPr>
        <w:tblStyle w:val="TableGrid"/>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3216"/>
        <w:gridCol w:w="3216"/>
        <w:gridCol w:w="3216"/>
      </w:tblGrid>
      <w:tr>
        <w:trPr>
          <w:cantSplit/>
          <w:tblHeader w:val="true"/>
        </w:trPr>
        <w:tc>
          <w:tcPr>
            <w:tcW w:type="dxa" w:w="3216"/>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Governance Role</w:t>
            </w:r>
          </w:p>
        </w:tc>
        <w:tc>
          <w:tcPr>
            <w:tcW w:type="dxa" w:w="3216"/>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Primary Responsibilities</w:t>
            </w:r>
          </w:p>
        </w:tc>
        <w:tc>
          <w:tcPr>
            <w:tcW w:type="dxa" w:w="3216"/>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Typical Organizational Owner</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Executive Sponsor</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Provide executive sponsorship, approve strategic data policy direction, allocate resources, and resolve escalated governance conflicts.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Executive leadership (Board-level or C-suite sponsor)</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Chief Data Officer</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Establish and maintain the enterprise data governance framework, own the Master Policy, coordinate Specific Policies, and drive enterprise data strategy and prioritization.</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Enterprise Data Executive / CDO Office</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Data Governance Council</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Approve governance principles and material policy decisions, resolve cross-domain disputes, and oversee policy compliance and risk escalations.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Cross-functional senior representatives (business, actuarial, risk, IT)</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Business Data Owner</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Define business requirements, acceptance criteria, data definitions, acceptable uses, and quality objectives for business processes.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Senior Business Leader for the relevant function (e.g., Head of Underwriting)</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Domain Data Owner</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Accountable for governance of a specific Core Data Domain, authoritative-source decisions, lifecycle expectations, and domain-level compliance.</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Functional leader with domain accountability (e.g., Head of Claims Data)</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Data Steward</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Execute operational stewardship: maintain metadata, manage business definitions, monitor quality, coordinate remediation, and support lineage documentation.</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Business or centralized data operations team</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Business Custodian</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Perform day-to-day custodianship in business applications: data capture, validation, correction, and adherence to approved business rules.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Business operations teams and application SMEs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Technology Custodian</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Operate and maintain platforms, integrations, access controls, logging, backups, and technical controls for governed data.</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IT Operations / Platform Engineering</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Application Owner</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Own application lifecycle, configuration, change control, and alignment of application data with enterprise/domain requirements.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Application Product Owner or IT Line Manager</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Information Security</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Define and oversee security requirements, access standards, monitoring, incident-response coordination, and cryptographic controls.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Information Security Function</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Privacy / Data Protection</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Provide privacy governance, data protection oversight, cross-border transfer controls, DPIA coordination, and individual-rights processes.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Privacy / Data Protection Office</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Risk Management</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Identify and monitor data-related risks, ensure treatments align with enterprise risk appetite, and provide risk reporting.</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Enterprise Risk Function</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Compliance / Regulatory Affairs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Interpret regulatory obligations, coordinate evidence for supervisory bodies, and advise on regulatory reporting requirements.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Compliance Function</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Internal Audit</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Provide independent assurance of governance, controls, and policy adherence; report findings to Audit Committee and governance bodies.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Internal Audit</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Legal</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Advise on legal requirements, contracts, data-sharing agreements, legal holds, and regulatory obligations with legal interpretation.</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Legal Function</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Enterprise Architecture</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Ensure data architecture, integration patterns, and interoperability align with governance requirements and standards.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Enterprise Architecture</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Project / Portfolio Management Office</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Ensure governance engagement in project lifecycles and that policy obligations are embedded into delivery.</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PMO</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Business Users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Use data according to policy, maintain data accuracy where responsible, and report incidents, quality or compliance issues.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Front-line and back-office users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Third Parties / Data Processors / Partners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Comply with contractual and regulatory obligations when processing enterprise data; maintain required controls and evidence.</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Vendors, Reinsurers, Brokers, Partners</w:t>
            </w:r>
          </w:p>
        </w:tc>
      </w:tr>
    </w:tbl>
    <w:p>
      <w:pPr>
        <w:pStyle w:val="Heading1"/>
        <w:pageBreakBefore w:val="0"/>
      </w:pPr>
      <w:r>
        <w:t>5 Enterprise Policy Catalogue</w:t>
      </w:r>
    </w:p>
    <w:p>
      <w:pPr>
        <w:pStyle w:val="Heading2"/>
        <w:pageBreakBefore w:val="0"/>
      </w:pPr>
      <w:r>
        <w:t>5.1 Policy Generation Principles</w:t>
      </w:r>
    </w:p>
    <w:p>
      <w:pPr>
        <w:spacing w:after="120"/>
      </w:pPr>
      <w:r>
        <w:t>The Enterprise Policy Catalogue is determined by assessing insurance industry requirements, global operational footprint, applicable regional regulations, critical business capabilities (underwriting, claims, actuarial, distribution, finance), and the Core Data Domains identified in Section 3. Policies are selected to ensure legal and regulatory compliance, protect personal and sensitive information, preserve actuarial and financial integrity, enable secure third-party interactions (brokers, reinsurers, vendors), and sustain analytics and model reliability. Catalogue composition prioritizes policies that close material control gaps, enable regulatory reporting, support enterprise risk appetite, and align stewardship, technology, and process responsibilities. Each Specific Policy derives authority from this Master Policy and is required to reference the Core Data Domains and supply measurable objectives, roles, and enforcement mechanisms appropriate to regional legal requirements.</w:t>
      </w:r>
    </w:p>
    <w:p>
      <w:pPr>
        <w:pStyle w:val="Heading2"/>
        <w:pageBreakBefore w:val="0"/>
      </w:pPr>
      <w:r>
        <w:t>5.2 Enterprise Policy Catalogue</w:t>
      </w:r>
    </w:p>
    <w:p>
      <w:pPr>
        <w:pStyle w:val="Heading3"/>
        <w:pageBreakBefore w:val="0"/>
      </w:pPr>
      <w:r>
        <w:t>5.2.1 Data Classification &amp; Handling Policy</w:t>
      </w:r>
    </w:p>
    <w:p>
      <w:pPr>
        <w:spacing w:after="120"/>
      </w:pPr>
      <w:r>
        <w:t>Purpose: Establish enterprise-wide rules for classifying data by sensitivity, criticality, and regulatory treatment to ensure consistent handling and protection in insurance operations.</w:t>
      </w:r>
    </w:p>
    <w:p>
      <w:pPr>
        <w:spacing w:after="120"/>
      </w:pPr>
      <w:r>
        <w:t>Capability Supported: Enables appropriate security, storage, and sharing controls; supports retention, access controls, encryption, and cross-border transfer decisions.</w:t>
      </w:r>
    </w:p>
    <w:p>
      <w:pPr>
        <w:spacing w:after="120"/>
      </w:pPr>
      <w:r>
        <w:t>Industry Relevance: Insurance data contains personal information, health or medical information (for certain products), financial records, and proprietary actuarial models requiring precise classification.</w:t>
      </w:r>
    </w:p>
    <w:p>
      <w:pPr>
        <w:spacing w:after="120"/>
      </w:pPr>
      <w:r>
        <w:t>Regional Applicability: Applicable globally; Specific Policies shall reflect regional privacy, data-localization, and regulatory nuances.</w:t>
      </w:r>
    </w:p>
    <w:p>
      <w:pPr>
        <w:spacing w:after="120"/>
      </w:pPr>
      <w:r>
        <w:t>Regulatory Relevance: Supports compliance with jurisdictional privacy, security, and financial reporting obligations by ensuring calibrated controls based on classification.</w:t>
      </w:r>
    </w:p>
    <w:p>
      <w:pPr>
        <w:spacing w:after="120"/>
      </w:pPr>
      <w:r>
        <w:t>Applicable Core Data Domain(s): Customer/Party, Policy, Claim, Provider/Medical, Financial &amp; Regulatory Reporting, Metadata &amp; Lineage.</w:t>
      </w:r>
    </w:p>
    <w:p>
      <w:pPr>
        <w:spacing w:after="120"/>
      </w:pPr>
      <w:r>
        <w:t>Relationship to Master Policy: Implements the Master Policy requirement to protect data commensurate with business risk and regulatory obligations; downstream policies will define handling procedures.</w:t>
      </w:r>
    </w:p>
    <w:p>
      <w:pPr>
        <w:pStyle w:val="Heading3"/>
        <w:pageBreakBefore w:val="0"/>
      </w:pPr>
      <w:r>
        <w:t>5.2.2 Data Quality Policy</w:t>
      </w:r>
    </w:p>
    <w:p>
      <w:pPr>
        <w:spacing w:after="120"/>
      </w:pPr>
      <w:r>
        <w:t>Purpose: Define enterprise expectations for data fitness-for-purpose, quality dimensions, measurement frequency, and remediation governance to support operational reliability and analytics.</w:t>
      </w:r>
    </w:p>
    <w:p>
      <w:pPr>
        <w:spacing w:after="120"/>
      </w:pPr>
      <w:r>
        <w:t>Capability Supported: Ensures accuracy of underwriting, claims adjudication, premium billing, actuarial modeling, and regulatory reporting datasets.</w:t>
      </w:r>
    </w:p>
    <w:p>
      <w:pPr>
        <w:spacing w:after="120"/>
      </w:pPr>
      <w:r>
        <w:t>Industry Relevance: Accurate data underpins pricing, reserves, claims settlement, and solvency assessments; poor quality exposes the enterprise to financial and regulatory risk.</w:t>
      </w:r>
    </w:p>
    <w:p>
      <w:pPr>
        <w:spacing w:after="120"/>
      </w:pPr>
      <w:r>
        <w:t>Regional Applicability: Global; Specific Policies will incorporate local data quality thresholds where regulation or business practice requires.</w:t>
      </w:r>
    </w:p>
    <w:p>
      <w:pPr>
        <w:spacing w:after="120"/>
      </w:pPr>
      <w:r>
        <w:t>Regulatory Relevance: Supports regulatory reporting integrity and auditability by mandating evidence of quality controls and remediation.</w:t>
      </w:r>
    </w:p>
    <w:p>
      <w:pPr>
        <w:spacing w:after="120"/>
      </w:pPr>
      <w:r>
        <w:t>Applicable Core Data Domain(s): Policy, Claim, Underwriting &amp; Risk, Premium/Billing, Actuarial &amp; Pricing, Financial &amp; Regulatory Reporting.</w:t>
      </w:r>
    </w:p>
    <w:p>
      <w:pPr>
        <w:spacing w:after="120"/>
      </w:pPr>
      <w:r>
        <w:t>Relationship to Master Policy: Provides enterprise-level quality objectives and requires domain-specific quality rules and ownership under downstream policies.</w:t>
      </w:r>
    </w:p>
    <w:p>
      <w:pPr>
        <w:pStyle w:val="Heading3"/>
        <w:pageBreakBefore w:val="0"/>
      </w:pPr>
      <w:r>
        <w:t>5.2.3 Master Data Management Policy</w:t>
      </w:r>
    </w:p>
    <w:p>
      <w:pPr>
        <w:spacing w:after="120"/>
      </w:pPr>
      <w:r>
        <w:t>Purpose: Establish enterprise rules for authoritative-source designation, consolidation, reconciliation, and synchronization of master entities (customers, policies, producers, products).</w:t>
      </w:r>
    </w:p>
    <w:p>
      <w:pPr>
        <w:spacing w:after="120"/>
      </w:pPr>
      <w:r>
        <w:t>Capability Supported: Reduces duplication, enables a single source of truth for operational processing, reporting, and analytics.</w:t>
      </w:r>
    </w:p>
    <w:p>
      <w:pPr>
        <w:spacing w:after="120"/>
      </w:pPr>
      <w:r>
        <w:t>Industry Relevance: Ensures consistent customer, policy, and producer records across distribution, policy administration, billing, claims, and reinsurance workflows.</w:t>
      </w:r>
    </w:p>
    <w:p>
      <w:pPr>
        <w:spacing w:after="120"/>
      </w:pPr>
      <w:r>
        <w:t>Regional Applicability: Global; Specific Policies will address local identifier usage and regulatory requirements for identity verification.</w:t>
      </w:r>
    </w:p>
    <w:p>
      <w:pPr>
        <w:spacing w:after="120"/>
      </w:pPr>
      <w:r>
        <w:t>Regulatory Relevance: Facilitates audit trails and regulator inquiries by identifying authoritative sources and stewardship responsibilities.</w:t>
      </w:r>
    </w:p>
    <w:p>
      <w:pPr>
        <w:spacing w:after="120"/>
      </w:pPr>
      <w:r>
        <w:t>Applicable Core Data Domain(s): Customer/Party, Policy, Producer/Distribution, Reference Data, Organization &amp; Legal Entity.</w:t>
      </w:r>
    </w:p>
    <w:p>
      <w:pPr>
        <w:spacing w:after="120"/>
      </w:pPr>
      <w:r>
        <w:t>Relationship to Master Policy: Provides enterprise authority for master-entity governance; Specific Policies specify synchronization mechanisms and reconciliation frequencies.</w:t>
      </w:r>
    </w:p>
    <w:p>
      <w:pPr>
        <w:pStyle w:val="Heading3"/>
        <w:pageBreakBefore w:val="0"/>
      </w:pPr>
      <w:r>
        <w:t>5.2.4 Privacy &amp; Data Protection Policy</w:t>
      </w:r>
    </w:p>
    <w:p>
      <w:pPr>
        <w:spacing w:after="120"/>
      </w:pPr>
      <w:r>
        <w:t>Purpose: Define privacy and data protection obligations for personal and sensitive data processing, including legal basis, cross-border transfers, retention, and individual rights processes.</w:t>
      </w:r>
    </w:p>
    <w:p>
      <w:pPr>
        <w:spacing w:after="120"/>
      </w:pPr>
      <w:r>
        <w:t>Capability Supported: Enables lawful customer data processing, supports privacy-by-design, and operationalizes rights requests and consent management.</w:t>
      </w:r>
    </w:p>
    <w:p>
      <w:pPr>
        <w:spacing w:after="120"/>
      </w:pPr>
      <w:r>
        <w:t>Industry Relevance: Insurance processes extensive personal data, health information for certain lines, and requires strict protections to maintain trust and regulatory compliance.</w:t>
      </w:r>
    </w:p>
    <w:p>
      <w:pPr>
        <w:spacing w:after="120"/>
      </w:pPr>
      <w:r>
        <w:t>Regional Applicability: Global; Specific Policies shall incorporate regional data-protection laws and supervisory authority requirements.</w:t>
      </w:r>
    </w:p>
    <w:p>
      <w:pPr>
        <w:spacing w:after="120"/>
      </w:pPr>
      <w:r>
        <w:t>Regulatory Relevance: Supports adherence to applicable privacy regulations and supervisory expectations without substituting legal counsel.</w:t>
      </w:r>
    </w:p>
    <w:p>
      <w:pPr>
        <w:spacing w:after="120"/>
      </w:pPr>
      <w:r>
        <w:t>Applicable Core Data Domain(s): Customer/Party, Provider/Medical, Consent &amp; Communication, Claims, Policy.</w:t>
      </w:r>
    </w:p>
    <w:p>
      <w:pPr>
        <w:spacing w:after="120"/>
      </w:pPr>
      <w:r>
        <w:t>Relationship to Master Policy: Establishes enterprise-level privacy governance and delegates operational controls to downstream Specific Policies and local privacy frameworks.</w:t>
      </w:r>
    </w:p>
    <w:p>
      <w:pPr>
        <w:pStyle w:val="Heading3"/>
        <w:pageBreakBefore w:val="0"/>
      </w:pPr>
      <w:r>
        <w:t>5.2.5 Data Security &amp; Access Control Policy</w:t>
      </w:r>
    </w:p>
    <w:p>
      <w:pPr>
        <w:spacing w:after="120"/>
      </w:pPr>
      <w:r>
        <w:t>Purpose: Mandate security controls, least-privilege access, authentication, encryption, monitoring, and incident-reporting requirements to protect confidentiality, integrity, and availability.</w:t>
      </w:r>
    </w:p>
    <w:p>
      <w:pPr>
        <w:spacing w:after="120"/>
      </w:pPr>
      <w:r>
        <w:t>Capability Supported: Protects underwriting, claims, financial, and personal data against unauthorized access and cyber threats.</w:t>
      </w:r>
    </w:p>
    <w:p>
      <w:pPr>
        <w:spacing w:after="120"/>
      </w:pPr>
      <w:r>
        <w:t>Industry Relevance: Insurance data is a target for fraud and cyber risk; strong security preserves solvency, customer trust, and regulatory compliance.</w:t>
      </w:r>
    </w:p>
    <w:p>
      <w:pPr>
        <w:spacing w:after="120"/>
      </w:pPr>
      <w:r>
        <w:t>Regional Applicability: Global; Specific Policies will address local encryption, logging, and cross-border control requirements.</w:t>
      </w:r>
    </w:p>
    <w:p>
      <w:pPr>
        <w:spacing w:after="120"/>
      </w:pPr>
      <w:r>
        <w:t>Regulatory Relevance: Aligns with regulatory expectations for prudential security controls and incident reporting obligations.</w:t>
      </w:r>
    </w:p>
    <w:p>
      <w:pPr>
        <w:spacing w:after="120"/>
      </w:pPr>
      <w:r>
        <w:t>Applicable Core Data Domain(s): All domains, with emphasis on Customer/Party, Claims, Policy, Financial &amp; Regulatory Reporting, Provider/Medical.</w:t>
      </w:r>
    </w:p>
    <w:p>
      <w:pPr>
        <w:spacing w:after="120"/>
      </w:pPr>
      <w:r>
        <w:t>Relationship to Master Policy: Provides enterprise security mandates; Specific Policies define technical controls and operational processes consistent with this policy.</w:t>
      </w:r>
    </w:p>
    <w:p>
      <w:pPr>
        <w:pStyle w:val="Heading3"/>
        <w:pageBreakBefore w:val="0"/>
      </w:pPr>
      <w:r>
        <w:t>5.2.6 Records &amp; Retention Policy</w:t>
      </w:r>
    </w:p>
    <w:p>
      <w:pPr>
        <w:spacing w:after="120"/>
      </w:pPr>
      <w:r>
        <w:t>Purpose: Establish retention, archival, legal hold, and disposition requirements for records supporting regulatory, legal, and business needs.</w:t>
      </w:r>
    </w:p>
    <w:p>
      <w:pPr>
        <w:spacing w:after="120"/>
      </w:pPr>
      <w:r>
        <w:t>Capability Supported: Ensures compliance with statutory retention periods, evidentiary requirements for claims and disputes, and supports defensible deletion.</w:t>
      </w:r>
    </w:p>
    <w:p>
      <w:pPr>
        <w:spacing w:after="120"/>
      </w:pPr>
      <w:r>
        <w:t>Industry Relevance: Insurance is subject to retention obligations for policies, claims files, and financial records that vary by jurisdiction and product line.</w:t>
      </w:r>
    </w:p>
    <w:p>
      <w:pPr>
        <w:spacing w:after="120"/>
      </w:pPr>
      <w:r>
        <w:t>Regional Applicability: Global; Specific Policies must map retention to local statutory and supervisory requirements.</w:t>
      </w:r>
    </w:p>
    <w:p>
      <w:pPr>
        <w:spacing w:after="120"/>
      </w:pPr>
      <w:r>
        <w:t>Regulatory Relevance: Supports regulatory and legal obligations for recordkeeping and auditability.</w:t>
      </w:r>
    </w:p>
    <w:p>
      <w:pPr>
        <w:spacing w:after="120"/>
      </w:pPr>
      <w:r>
        <w:t>Applicable Core Data Domain(s): Document &amp; Case Management, Policy, Claim, Financial &amp; Regulatory Reporting, Provider/Medical.</w:t>
      </w:r>
    </w:p>
    <w:p>
      <w:pPr>
        <w:spacing w:after="120"/>
      </w:pPr>
      <w:r>
        <w:t>Relationship to Master Policy: Prescribes enterprise retention principles and requires Specific Policies to implement retention schedules and legal-hold procedures.</w:t>
      </w:r>
    </w:p>
    <w:p>
      <w:pPr>
        <w:pStyle w:val="Heading3"/>
        <w:pageBreakBefore w:val="0"/>
      </w:pPr>
      <w:r>
        <w:t>5.2.7 Data Lifecycle Management Policy</w:t>
      </w:r>
    </w:p>
    <w:p>
      <w:pPr>
        <w:spacing w:after="120"/>
      </w:pPr>
      <w:r>
        <w:t>Purpose: Define lifecycle requirements for creation, approval, change control, archival, and secure disposal of governed data throughout its operational life.</w:t>
      </w:r>
    </w:p>
    <w:p>
      <w:pPr>
        <w:spacing w:after="120"/>
      </w:pPr>
      <w:r>
        <w:t>Capability Supported: Ensures controlled evolution of data, prevents stale or unsupported datasets, and maintains lineage for auditability.</w:t>
      </w:r>
    </w:p>
    <w:p>
      <w:pPr>
        <w:spacing w:after="120"/>
      </w:pPr>
      <w:r>
        <w:t>Industry Relevance: Proper lifecycle controls minimize operational risk in policy changes, claims handling, and regulatory reporting.</w:t>
      </w:r>
    </w:p>
    <w:p>
      <w:pPr>
        <w:spacing w:after="120"/>
      </w:pPr>
      <w:r>
        <w:t>Regional Applicability: Global; Specific Policies will address local regulatory lifecycle requirements.</w:t>
      </w:r>
    </w:p>
    <w:p>
      <w:pPr>
        <w:spacing w:after="120"/>
      </w:pPr>
      <w:r>
        <w:t>Regulatory Relevance: Enables compliance with recordkeeping, audit trails, and supervisory inquiries.</w:t>
      </w:r>
    </w:p>
    <w:p>
      <w:pPr>
        <w:spacing w:after="120"/>
      </w:pPr>
      <w:r>
        <w:t>Applicable Core Data Domain(s): All enterprise domains, notably Policy, Claim, Financial &amp; Regulatory Reporting, Metadata &amp; Lineage.</w:t>
      </w:r>
    </w:p>
    <w:p>
      <w:pPr>
        <w:spacing w:after="120"/>
      </w:pPr>
      <w:r>
        <w:t>Relationship to Master Policy: Sets lifecycle governance expectations; downstream policies will implement domain-specific lifecycle procedures and evidence requirements.</w:t>
      </w:r>
    </w:p>
    <w:p>
      <w:pPr>
        <w:pStyle w:val="Heading3"/>
        <w:pageBreakBefore w:val="0"/>
      </w:pPr>
      <w:r>
        <w:t>5.2.8 Reference Data Management Policy</w:t>
      </w:r>
    </w:p>
    <w:p>
      <w:pPr>
        <w:spacing w:after="120"/>
      </w:pPr>
      <w:r>
        <w:t>Purpose: Govern the creation, approval, distribution, and versioning of reference data to maintain consistency across pricing, underwriting, and reporting systems.</w:t>
      </w:r>
    </w:p>
    <w:p>
      <w:pPr>
        <w:spacing w:after="120"/>
      </w:pPr>
      <w:r>
        <w:t>Capability Supported: Ensures stable, authoritative code lists and rating tables used in pricing, billing, and reporting.</w:t>
      </w:r>
    </w:p>
    <w:p>
      <w:pPr>
        <w:spacing w:after="120"/>
      </w:pPr>
      <w:r>
        <w:t>Industry Relevance: Accurate reference data is crucial for consistent premium calculations, geographic risk classification, and regulatory submissions.</w:t>
      </w:r>
    </w:p>
    <w:p>
      <w:pPr>
        <w:spacing w:after="120"/>
      </w:pPr>
      <w:r>
        <w:t>Regional Applicability: Global; Specific Policies will reflect local code standards and regulatory identifiers.</w:t>
      </w:r>
    </w:p>
    <w:p>
      <w:pPr>
        <w:spacing w:after="120"/>
      </w:pPr>
      <w:r>
        <w:t>Regulatory Relevance: Supports reproducible regulatory reporting and actuarial calculations.</w:t>
      </w:r>
    </w:p>
    <w:p>
      <w:pPr>
        <w:spacing w:after="120"/>
      </w:pPr>
      <w:r>
        <w:t>Applicable Core Data Domain(s): Reference Data, Actuarial &amp; Pricing, Policy, Underwriting &amp; Risk.</w:t>
      </w:r>
    </w:p>
    <w:p>
      <w:pPr>
        <w:spacing w:after="120"/>
      </w:pPr>
      <w:r>
        <w:t>Relationship to Master Policy: Provides enterprise direction for reference data stewardship; domain-specific reference tables and release processes are defined in Specific Policies.</w:t>
      </w:r>
    </w:p>
    <w:p>
      <w:pPr>
        <w:pStyle w:val="Heading3"/>
        <w:pageBreakBefore w:val="0"/>
      </w:pPr>
      <w:r>
        <w:t>5.2.9 Metadata &amp; Lineage Policy</w:t>
      </w:r>
    </w:p>
    <w:p>
      <w:pPr>
        <w:spacing w:after="120"/>
      </w:pPr>
      <w:r>
        <w:t>Purpose: Require enterprise metadata standards, business glossaries, and lineage capture to enable transparency, repeatability, and auditability of data flows.</w:t>
      </w:r>
    </w:p>
    <w:p>
      <w:pPr>
        <w:spacing w:after="120"/>
      </w:pPr>
      <w:r>
        <w:t>Capability Supported: Enhances trust in analytics, regulatory reporting, and model validation by providing clear provenance and definitions.</w:t>
      </w:r>
    </w:p>
    <w:p>
      <w:pPr>
        <w:spacing w:after="120"/>
      </w:pPr>
      <w:r>
        <w:t>Industry Relevance: Needed for actuarial model validation, regulatory reporting reconciliation, and dispute resolution in claims and underwriting.</w:t>
      </w:r>
    </w:p>
    <w:p>
      <w:pPr>
        <w:spacing w:after="120"/>
      </w:pPr>
      <w:r>
        <w:t>Regional Applicability: Global; Specific Policies will address preservation of lineage for regulated data in each jurisdiction.</w:t>
      </w:r>
    </w:p>
    <w:p>
      <w:pPr>
        <w:spacing w:after="120"/>
      </w:pPr>
      <w:r>
        <w:t>Regulatory Relevance: Supports supervisor inquiries and audit evidence by ensuring lineage and metadata are maintained.</w:t>
      </w:r>
    </w:p>
    <w:p>
      <w:pPr>
        <w:spacing w:after="120"/>
      </w:pPr>
      <w:r>
        <w:t>Applicable Core Data Domain(s): Metadata &amp; Lineage, Actuarial &amp; Pricing, Financial &amp; Regulatory Reporting, Claim, Policy.</w:t>
      </w:r>
    </w:p>
    <w:p>
      <w:pPr>
        <w:spacing w:after="120"/>
      </w:pPr>
      <w:r>
        <w:t>Relationship to Master Policy: Establishes enterprise metadata requirements; Specific Policies and operating procedures will prescribe tools and capture points.</w:t>
      </w:r>
    </w:p>
    <w:p>
      <w:pPr>
        <w:pStyle w:val="Heading3"/>
        <w:pageBreakBefore w:val="0"/>
      </w:pPr>
      <w:r>
        <w:t>5.2.10 Third-Party Data Sharing &amp; Processing Policy</w:t>
      </w:r>
    </w:p>
    <w:p>
      <w:pPr>
        <w:spacing w:after="120"/>
      </w:pPr>
      <w:r>
        <w:t>Purpose: Define governance for data sharing, processing, contracts, due diligence, security, and oversight of third parties including reinsurers, vendors, and brokers.</w:t>
      </w:r>
    </w:p>
    <w:p>
      <w:pPr>
        <w:spacing w:after="120"/>
      </w:pPr>
      <w:r>
        <w:t>Capability Supported: Enables secure and compliant outsourcing, data exchange, and partner integrations essential to distribution, claims processing, and reinsurance recovery.</w:t>
      </w:r>
    </w:p>
    <w:p>
      <w:pPr>
        <w:spacing w:after="120"/>
      </w:pPr>
      <w:r>
        <w:t>Industry Relevance: Insurance relies on a broad ecosystem of partners; robust third-party controls mitigate regulatory and operational risk.</w:t>
      </w:r>
    </w:p>
    <w:p>
      <w:pPr>
        <w:spacing w:after="120"/>
      </w:pPr>
      <w:r>
        <w:t>Regional Applicability: Global; Specific Policies must address cross-border processing, local data-processor requirements, and contractual clauses.</w:t>
      </w:r>
    </w:p>
    <w:p>
      <w:pPr>
        <w:spacing w:after="120"/>
      </w:pPr>
      <w:r>
        <w:t>Regulatory Relevance: Supports contractual and supervisory expectations for vendor management and data-controller/processor relationships.</w:t>
      </w:r>
    </w:p>
    <w:p>
      <w:pPr>
        <w:spacing w:after="120"/>
      </w:pPr>
      <w:r>
        <w:t>Applicable Core Data Domain(s): Third-Party &amp; Supplier, Reinsurance, Producer/Distribution, Provider/Medical, Customer/Party.</w:t>
      </w:r>
    </w:p>
    <w:p>
      <w:pPr>
        <w:spacing w:after="120"/>
      </w:pPr>
      <w:r>
        <w:t>Relationship to Master Policy: Governs third-party relationships at enterprise level; Specific Policies will operationalize contractual templates and monitoring requirements.</w:t>
      </w:r>
    </w:p>
    <w:p>
      <w:pPr>
        <w:pStyle w:val="Heading3"/>
        <w:pageBreakBefore w:val="0"/>
      </w:pPr>
      <w:r>
        <w:t>5.2.11 Analytics, Modeling &amp; Actuarial Governance Policy</w:t>
      </w:r>
    </w:p>
    <w:p>
      <w:pPr>
        <w:spacing w:after="120"/>
      </w:pPr>
      <w:r>
        <w:t>Purpose: Set governance for model development, validation, versioning, input data quality, documentation, and deployment to ensure integrity of pricing, reserving, and predictive use cases.</w:t>
      </w:r>
    </w:p>
    <w:p>
      <w:pPr>
        <w:spacing w:after="120"/>
      </w:pPr>
      <w:r>
        <w:t>Capability Supported: Ensures actuarial and analytics outputs are robust, explainable, and auditable for business and regulatory use.</w:t>
      </w:r>
    </w:p>
    <w:p>
      <w:pPr>
        <w:spacing w:after="120"/>
      </w:pPr>
      <w:r>
        <w:t>Industry Relevance: Pricing, reserving, and capital modeling are core insurance functions with direct financial impact and regulatory scrutiny.</w:t>
      </w:r>
    </w:p>
    <w:p>
      <w:pPr>
        <w:spacing w:after="120"/>
      </w:pPr>
      <w:r>
        <w:t>Regional Applicability: Global; Specific Policies will reflect local actuarial standards and model governance requirements.</w:t>
      </w:r>
    </w:p>
    <w:p>
      <w:pPr>
        <w:spacing w:after="120"/>
      </w:pPr>
      <w:r>
        <w:t>Regulatory Relevance: Supports model risk management expectations from prudential regulators and auditors.</w:t>
      </w:r>
    </w:p>
    <w:p>
      <w:pPr>
        <w:spacing w:after="120"/>
      </w:pPr>
      <w:r>
        <w:t>Applicable Core Data Domain(s): Actuarial &amp; Pricing, Underwriting &amp; Risk, Policy, Claim, Financial &amp; Regulatory Reporting, Metadata &amp; Lineage.</w:t>
      </w:r>
    </w:p>
    <w:p>
      <w:pPr>
        <w:spacing w:after="120"/>
      </w:pPr>
      <w:r>
        <w:t>Relationship to Master Policy: Provides enterprise-level model governance expectations; Specific Policies will define validation, testing, and deployment controls.</w:t>
      </w:r>
    </w:p>
    <w:p>
      <w:pPr>
        <w:pStyle w:val="Heading3"/>
        <w:pageBreakBefore w:val="0"/>
      </w:pPr>
      <w:r>
        <w:t>5.2.12 Claims Data Governance Policy</w:t>
      </w:r>
    </w:p>
    <w:p>
      <w:pPr>
        <w:spacing w:after="120"/>
      </w:pPr>
      <w:r>
        <w:t>Purpose: Define governance for claims capture, triage, reserving data, adjudication records, payments, recoveries, and supporting evidentiary documents.</w:t>
      </w:r>
    </w:p>
    <w:p>
      <w:pPr>
        <w:spacing w:after="120"/>
      </w:pPr>
      <w:r>
        <w:t>Capability Supported: Ensures reliable claims data for operational settlement, reinsurance recoveries, fraud detection, and reserving.</w:t>
      </w:r>
    </w:p>
    <w:p>
      <w:pPr>
        <w:spacing w:after="120"/>
      </w:pPr>
      <w:r>
        <w:t>Industry Relevance: Accurate claims data is essential to financial performance, customer outcomes, and regulatory compliance.</w:t>
      </w:r>
    </w:p>
    <w:p>
      <w:pPr>
        <w:spacing w:after="120"/>
      </w:pPr>
      <w:r>
        <w:t>Regional Applicability: Global; Specific Policies will address local statutory claims processes and medical record handling where applicable.</w:t>
      </w:r>
    </w:p>
    <w:p>
      <w:pPr>
        <w:spacing w:after="120"/>
      </w:pPr>
      <w:r>
        <w:t>Regulatory Relevance: Supports statutory claims reporting, solvency calculations, and supervisory reviews.</w:t>
      </w:r>
    </w:p>
    <w:p>
      <w:pPr>
        <w:spacing w:after="120"/>
      </w:pPr>
      <w:r>
        <w:t>Applicable Core Data Domain(s): Claim, Policy, Provider/Medical, Fraud &amp; Investigation, Financial &amp; Regulatory Reporting.</w:t>
      </w:r>
    </w:p>
    <w:p>
      <w:pPr>
        <w:spacing w:after="120"/>
      </w:pPr>
      <w:r>
        <w:t>Relationship to Master Policy: Sets enterprise expectations for claims data stewardship; downstream policies will define adjudication data standards and retention.</w:t>
      </w:r>
    </w:p>
    <w:p>
      <w:pPr>
        <w:pStyle w:val="Heading3"/>
        <w:pageBreakBefore w:val="0"/>
      </w:pPr>
      <w:r>
        <w:t>5.2.13 Policy Administration, Underwriting &amp; Reinsurance Data Governance Policy</w:t>
      </w:r>
    </w:p>
    <w:p>
      <w:pPr>
        <w:spacing w:after="120"/>
      </w:pPr>
      <w:r>
        <w:t>Purpose: Provide integrated governance for policy lifecycle data, underwriting submissions and decisions, and reinsurance placements and recoverables.</w:t>
      </w:r>
    </w:p>
    <w:p>
      <w:pPr>
        <w:spacing w:after="120"/>
      </w:pPr>
      <w:r>
        <w:t>Capability Supported: Ensures consistency between policy issuance, risk selection, pricing, and reinsurance accounting to support risk transfer strategies and financial integrity.</w:t>
      </w:r>
    </w:p>
    <w:p>
      <w:pPr>
        <w:spacing w:after="120"/>
      </w:pPr>
      <w:r>
        <w:t>Industry Relevance: Coherent governance across these functions prevents gaps between underwriting decisions, policy administration, and reinsurance coverage.</w:t>
      </w:r>
    </w:p>
    <w:p>
      <w:pPr>
        <w:spacing w:after="120"/>
      </w:pPr>
      <w:r>
        <w:t>Regional Applicability: Global; Specific Policies will address local underwriting rules, licensing, and treaty requirements.</w:t>
      </w:r>
    </w:p>
    <w:p>
      <w:pPr>
        <w:spacing w:after="120"/>
      </w:pPr>
      <w:r>
        <w:t>Regulatory Relevance: Supports insurer solvency, premium reporting, and reinsurance disclosure obligations.</w:t>
      </w:r>
    </w:p>
    <w:p>
      <w:pPr>
        <w:spacing w:after="120"/>
      </w:pPr>
      <w:r>
        <w:t>Applicable Core Data Domain(s): Policy, Underwriting &amp; Risk, Reinsurance, Premium/Billing, Producer/Distribution.</w:t>
      </w:r>
    </w:p>
    <w:p>
      <w:pPr>
        <w:spacing w:after="120"/>
      </w:pPr>
      <w:r>
        <w:t>Relationship to Master Policy: Provides enterprise alignment for lifecycle and authoritative sources across related domains; Specific Policies will address operational controls and reconciliations.</w:t>
      </w:r>
    </w:p>
    <w:p>
      <w:pPr>
        <w:pStyle w:val="Heading3"/>
        <w:pageBreakBefore w:val="0"/>
      </w:pPr>
      <w:r>
        <w:t>5.2.14 Financial &amp; Regulatory Reporting Data Governance Policy</w:t>
      </w:r>
    </w:p>
    <w:p>
      <w:pPr>
        <w:spacing w:after="120"/>
      </w:pPr>
      <w:r>
        <w:t>Purpose: Define governance for the preparation, reconciliation, and certification of financial statements and regulatory returns, ensuring data provenance and control evidence.</w:t>
      </w:r>
    </w:p>
    <w:p>
      <w:pPr>
        <w:spacing w:after="120"/>
      </w:pPr>
      <w:r>
        <w:t>Capability Supported: Ensures reliable statutory and regulatory submissions, supports auditability, and reduces risk of material misstatement.</w:t>
      </w:r>
    </w:p>
    <w:p>
      <w:pPr>
        <w:spacing w:after="120"/>
      </w:pPr>
      <w:r>
        <w:t>Industry Relevance: Insurance is highly regulated; accurate financial and solvency reporting is critical to regulatory standing and market confidence.</w:t>
      </w:r>
    </w:p>
    <w:p>
      <w:pPr>
        <w:spacing w:after="120"/>
      </w:pPr>
      <w:r>
        <w:t>Regional Applicability: Global; Specific Policies must incorporate local statutory formats, chart of accounts mapping, and submission processes.</w:t>
      </w:r>
    </w:p>
    <w:p>
      <w:pPr>
        <w:spacing w:after="120"/>
      </w:pPr>
      <w:r>
        <w:t>Regulatory Relevance: Directly underpins compliance with financial reporting standards and supervisory return requirements.</w:t>
      </w:r>
    </w:p>
    <w:p>
      <w:pPr>
        <w:spacing w:after="120"/>
      </w:pPr>
      <w:r>
        <w:t>Applicable Core Data Domain(s): Financial &amp; Regulatory Reporting, Policy, Claim, Actuarial &amp; Pricing, Organization &amp; Legal Entity.</w:t>
      </w:r>
    </w:p>
    <w:p>
      <w:pPr>
        <w:spacing w:after="120"/>
      </w:pPr>
      <w:r>
        <w:t>Relationship to Master Policy: Establishes enterprise control expectations for reporting data; downstream policies require reconciliations and evidence trails.</w:t>
      </w:r>
    </w:p>
    <w:p>
      <w:pPr>
        <w:pStyle w:val="Heading3"/>
        <w:pageBreakBefore w:val="0"/>
      </w:pPr>
      <w:r>
        <w:t>5.2.15 Data Incident &amp; Breach Response Policy</w:t>
      </w:r>
    </w:p>
    <w:p>
      <w:pPr>
        <w:spacing w:after="120"/>
      </w:pPr>
      <w:r>
        <w:t>Purpose: Define enterprise requirements for detection, reporting, escalation, containment, remediation, regulatory notification, and post-incident review of data incidents and breaches.</w:t>
      </w:r>
    </w:p>
    <w:p>
      <w:pPr>
        <w:spacing w:after="120"/>
      </w:pPr>
      <w:r>
        <w:t>Capability Supported: Enables timely response to minimize harm to customers, operational disruption, and regulatory exposure.</w:t>
      </w:r>
    </w:p>
    <w:p>
      <w:pPr>
        <w:spacing w:after="120"/>
      </w:pPr>
      <w:r>
        <w:t>Industry Relevance: Data incidents involving customer, claims, or financial data can materially impact solvency, reputation, and regulatory standing.</w:t>
      </w:r>
    </w:p>
    <w:p>
      <w:pPr>
        <w:spacing w:after="120"/>
      </w:pPr>
      <w:r>
        <w:t>Regional Applicability: Global; Specific Policies must incorporate jurisdictional notification timelines and supervisory engagement processes.</w:t>
      </w:r>
    </w:p>
    <w:p>
      <w:pPr>
        <w:spacing w:after="120"/>
      </w:pPr>
      <w:r>
        <w:t>Regulatory Relevance: Supports compliance with breach-notification laws and sector-specific supervisory reporting obligations.</w:t>
      </w:r>
    </w:p>
    <w:p>
      <w:pPr>
        <w:spacing w:after="120"/>
      </w:pPr>
      <w:r>
        <w:t>Applicable Core Data Domain(s): Customer/Party, Claim, Policy, Provider/Medical, Financial &amp; Regulatory Reporting.</w:t>
      </w:r>
    </w:p>
    <w:p>
      <w:pPr>
        <w:spacing w:after="120"/>
      </w:pPr>
      <w:r>
        <w:t>Relationship to Master Policy: Provides enterprise-level incident governance; Specific Policies will operationalize detection mechanisms and notification procedures.</w:t>
      </w:r>
    </w:p>
    <w:p>
      <w:pPr>
        <w:pStyle w:val="Heading3"/>
        <w:pageBreakBefore w:val="0"/>
      </w:pPr>
      <w:r>
        <w:t>5.2.16 Consent &amp; Communications Policy</w:t>
      </w:r>
    </w:p>
    <w:p>
      <w:pPr>
        <w:spacing w:after="120"/>
      </w:pPr>
      <w:r>
        <w:t>Purpose: Govern capture, management, and evidencing of customer consents, marketing preferences, and communication history to ensure lawful contact and regulatory compliance.</w:t>
      </w:r>
    </w:p>
    <w:p>
      <w:pPr>
        <w:spacing w:after="120"/>
      </w:pPr>
      <w:r>
        <w:t>Capability Supported: Enables compliant customer engagement, consent lifecycle management, and defense against regulatory complaints.</w:t>
      </w:r>
    </w:p>
    <w:p>
      <w:pPr>
        <w:spacing w:after="120"/>
      </w:pPr>
      <w:r>
        <w:t>Industry Relevance: Customer communications affect renewal, claims handling, and marketing; consent is often required for direct marketing and certain data uses.</w:t>
      </w:r>
    </w:p>
    <w:p>
      <w:pPr>
        <w:spacing w:after="120"/>
      </w:pPr>
      <w:r>
        <w:t>Regional Applicability: Global; Specific Policies must reflect regional consent requirements, electronic communications laws, and do-not-contact registries.</w:t>
      </w:r>
    </w:p>
    <w:p>
      <w:pPr>
        <w:spacing w:after="120"/>
      </w:pPr>
      <w:r>
        <w:t>Regulatory Relevance: Supports compliance with privacy statutes and communications regulation.</w:t>
      </w:r>
    </w:p>
    <w:p>
      <w:pPr>
        <w:spacing w:after="120"/>
      </w:pPr>
      <w:r>
        <w:t>Applicable Core Data Domain(s): Consent &amp; Communication, Customer/Party, Marketing, Policy.</w:t>
      </w:r>
    </w:p>
    <w:p>
      <w:pPr>
        <w:spacing w:after="120"/>
      </w:pPr>
      <w:r>
        <w:t>Relationship to Master Policy: Implements enterprise consent standards; Specific Policies will define capture mechanisms, retention of consent evidence, and rights fulfillment.</w:t>
      </w:r>
    </w:p>
    <w:p>
      <w:pPr>
        <w:pStyle w:val="Heading3"/>
        <w:pageBreakBefore w:val="0"/>
      </w:pPr>
      <w:r>
        <w:t>5.2.17 Data Lineage &amp; Provenance Policy</w:t>
      </w:r>
    </w:p>
    <w:p>
      <w:pPr>
        <w:spacing w:after="120"/>
      </w:pPr>
      <w:r>
        <w:t>Purpose: Require capture and retention of data lineage and provenance for governed datasets to enable traceability from source systems through transformations to consumption.</w:t>
      </w:r>
    </w:p>
    <w:p>
      <w:pPr>
        <w:spacing w:after="120"/>
      </w:pPr>
      <w:r>
        <w:t>Capability Supported: Facilitates validation of analytics, model inputs, regulatory submissions, and audit investigations.</w:t>
      </w:r>
    </w:p>
    <w:p>
      <w:pPr>
        <w:spacing w:after="120"/>
      </w:pPr>
      <w:r>
        <w:t>Industry Relevance: Lineage underpins actuarial validation, reserve justification, and reconciliations between front-office and finance systems.</w:t>
      </w:r>
    </w:p>
    <w:p>
      <w:pPr>
        <w:spacing w:after="120"/>
      </w:pPr>
      <w:r>
        <w:t>Regional Applicability: Global; Specific Policies will specify lineage scope for regulated datasets in each jurisdiction.</w:t>
      </w:r>
    </w:p>
    <w:p>
      <w:pPr>
        <w:spacing w:after="120"/>
      </w:pPr>
      <w:r>
        <w:t>Regulatory Relevance: Supports supervisory inquiries and audit evidence for reported figures.</w:t>
      </w:r>
    </w:p>
    <w:p>
      <w:pPr>
        <w:spacing w:after="120"/>
      </w:pPr>
      <w:r>
        <w:t>Applicable Core Data Domain(s): Metadata &amp; Lineage, Financial &amp; Regulatory Reporting, Actuarial &amp; Pricing, Policy, Claim.</w:t>
      </w:r>
    </w:p>
    <w:p>
      <w:pPr>
        <w:spacing w:after="120"/>
      </w:pPr>
      <w:r>
        <w:t>Relationship to Master Policy: Establishes enterprise lineage requirements; Specific Policies detail tooling, capture points, and retention.</w:t>
      </w:r>
    </w:p>
    <w:p>
      <w:pPr>
        <w:pStyle w:val="Heading3"/>
        <w:pageBreakBefore w:val="0"/>
      </w:pPr>
      <w:r>
        <w:t>5.2.18 Data Ethics &amp; AI Governance Policy</w:t>
      </w:r>
    </w:p>
    <w:p>
      <w:pPr>
        <w:spacing w:after="120"/>
      </w:pPr>
      <w:r>
        <w:t>Purpose: Set enterprise expectations for ethical use of data and governance of AI/ML models, including fairness, transparency, explainability, and mitigation of bias in pricing, underwriting, or claims automation.</w:t>
      </w:r>
    </w:p>
    <w:p>
      <w:pPr>
        <w:spacing w:after="120"/>
      </w:pPr>
      <w:r>
        <w:t>Capability Supported: Enables responsible innovation while managing model risk and reputational exposure.</w:t>
      </w:r>
    </w:p>
    <w:p>
      <w:pPr>
        <w:spacing w:after="120"/>
      </w:pPr>
      <w:r>
        <w:t>Industry Relevance: Insurance decisions driven by models and data impact pricing, access, and customer outcomes and are subject to regulatory and public scrutiny.</w:t>
      </w:r>
    </w:p>
    <w:p>
      <w:pPr>
        <w:spacing w:after="120"/>
      </w:pPr>
      <w:r>
        <w:t>Regional Applicability: Global; Specific Policies will reflect emerging regulatory requirements and local expectations for automated decision-making.</w:t>
      </w:r>
    </w:p>
    <w:p>
      <w:pPr>
        <w:spacing w:after="120"/>
      </w:pPr>
      <w:r>
        <w:t>Regulatory Relevance: Prepares the enterprise to meet supervisory expectations on algorithmic transparency and non-discrimination where applicable.</w:t>
      </w:r>
    </w:p>
    <w:p>
      <w:pPr>
        <w:spacing w:after="120"/>
      </w:pPr>
      <w:r>
        <w:t>Applicable Core Data Domain(s): Actuarial &amp; Pricing, Underwriting &amp; Risk, Customer/Party, Policy, Claim, Metadata &amp; Lineage.</w:t>
      </w:r>
    </w:p>
    <w:p>
      <w:pPr>
        <w:spacing w:after="120"/>
      </w:pPr>
      <w:r>
        <w:t>Relationship to Master Policy: Provides ethical guardrails and governance expectations for models and advanced analytics; Specific Policies will define validation, documentation, and monitoring.</w:t>
      </w:r>
    </w:p>
    <w:p>
      <w:pPr>
        <w:pStyle w:val="Heading1"/>
        <w:pageBreakBefore w:val="0"/>
      </w:pPr>
      <w:r>
        <w:t>6 Policy Declaration &amp; Approval</w:t>
      </w:r>
    </w:p>
    <w:p>
      <w:pPr>
        <w:pStyle w:val="Heading2"/>
        <w:pageBreakBefore w:val="0"/>
      </w:pPr>
      <w:r>
        <w:t>6.1 Policy Declaration</w:t>
      </w:r>
    </w:p>
    <w:p>
      <w:pPr>
        <w:spacing w:after="120"/>
      </w:pPr>
      <w:r>
        <w:t>By endorsement of this Enterprise Master Policy, the enterprise establishes a single authoritative governance framework that defines enterprise scope, Core Data Domains, roles and accountabilities, and the catalogue of downstream Specific Policies. This Master Policy is the parent authority for all Specific Policies that govern the creation, processing, protection, lifecycle management, sharing, and disposition of enterprise data. All Specific Policies, standards, and controls that implement the obligations established herein shall be approved, published, maintained, and enforced in accordance with the governance processes managed by the Chief Data Officer and overseen by the Data Governance Council. Compliance with this Master Policy is mandatory for all organizational units, business functions, and third parties processing enterprise data.</w:t>
      </w:r>
    </w:p>
    <w:p>
      <w:pPr>
        <w:pStyle w:val="Heading2"/>
        <w:pageBreakBefore w:val="0"/>
      </w:pPr>
      <w:r>
        <w:t>6.2 Approval Signatures</w:t>
      </w:r>
    </w:p>
    <w:tbl>
      <w:tblPr>
        <w:tblStyle w:val="TableGrid"/>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2412"/>
        <w:gridCol w:w="2412"/>
        <w:gridCol w:w="2412"/>
        <w:gridCol w:w="2412"/>
      </w:tblGrid>
      <w:tr>
        <w:trPr>
          <w:cantSplit/>
          <w:tblHeader w:val="true"/>
        </w:trPr>
        <w:tc>
          <w:tcPr>
            <w:tcW w:type="dxa" w:w="2412"/>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Approval Role</w:t>
            </w:r>
          </w:p>
        </w:tc>
        <w:tc>
          <w:tcPr>
            <w:tcW w:type="dxa" w:w="2412"/>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Name</w:t>
            </w:r>
          </w:p>
        </w:tc>
        <w:tc>
          <w:tcPr>
            <w:tcW w:type="dxa" w:w="2412"/>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Signature</w:t>
            </w:r>
          </w:p>
        </w:tc>
        <w:tc>
          <w:tcPr>
            <w:tcW w:type="dxa" w:w="2412"/>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Date</w:t>
            </w:r>
          </w:p>
        </w:tc>
      </w:tr>
      <w:tr>
        <w:trPr>
          <w:cantSplit/>
        </w:trPr>
        <w:tc>
          <w:tcPr>
            <w:tcW w:type="dxa" w:w="2412"/>
            <w:vAlign w:val="center"/>
            <w:tcMar>
              <w:top w:w="80" w:type="dxa"/>
              <w:start w:w="100" w:type="dxa"/>
              <w:bottom w:w="80" w:type="dxa"/>
              <w:end w:w="100" w:type="dxa"/>
            </w:tcMar>
          </w:tcPr>
          <w:p>
            <w:pPr>
              <w:spacing w:before="0" w:after="0" w:line="240" w:lineRule="auto"/>
            </w:pPr>
            <w:r>
              <w:rPr>
                <w:rFonts w:ascii="Aptos" w:hAnsi="Aptos"/>
                <w:sz w:val="20"/>
              </w:rPr>
              <w:t>Executive Sponsor</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____________________</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____________________</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____________________</w:t>
            </w:r>
          </w:p>
        </w:tc>
      </w:tr>
      <w:tr>
        <w:trPr>
          <w:cantSplit/>
        </w:trPr>
        <w:tc>
          <w:tcPr>
            <w:tcW w:type="dxa" w:w="2412"/>
            <w:vAlign w:val="center"/>
            <w:tcMar>
              <w:top w:w="80" w:type="dxa"/>
              <w:start w:w="100" w:type="dxa"/>
              <w:bottom w:w="80" w:type="dxa"/>
              <w:end w:w="100" w:type="dxa"/>
            </w:tcMar>
          </w:tcPr>
          <w:p>
            <w:pPr>
              <w:spacing w:before="0" w:after="0" w:line="240" w:lineRule="auto"/>
            </w:pPr>
            <w:r>
              <w:rPr>
                <w:rFonts w:ascii="Aptos" w:hAnsi="Aptos"/>
                <w:sz w:val="20"/>
              </w:rPr>
              <w:t>Chief Data Officer</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____________________</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____________________</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____________________</w:t>
            </w:r>
          </w:p>
        </w:tc>
      </w:tr>
      <w:tr>
        <w:trPr>
          <w:cantSplit/>
        </w:trPr>
        <w:tc>
          <w:tcPr>
            <w:tcW w:type="dxa" w:w="2412"/>
            <w:vAlign w:val="center"/>
            <w:tcMar>
              <w:top w:w="80" w:type="dxa"/>
              <w:start w:w="100" w:type="dxa"/>
              <w:bottom w:w="80" w:type="dxa"/>
              <w:end w:w="100" w:type="dxa"/>
            </w:tcMar>
          </w:tcPr>
          <w:p>
            <w:pPr>
              <w:spacing w:before="0" w:after="0" w:line="240" w:lineRule="auto"/>
            </w:pPr>
            <w:r>
              <w:rPr>
                <w:rFonts w:ascii="Aptos" w:hAnsi="Aptos"/>
                <w:sz w:val="20"/>
              </w:rPr>
              <w:t>Data Governance Council Representative</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____________________</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____________________</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____________________</w:t>
            </w:r>
          </w:p>
        </w:tc>
      </w:tr>
    </w:tbl>
    <w:sectPr w:rsidR="00FC693F" w:rsidRPr="0006063C" w:rsidSect="00034616">
      <w:footerReference w:type="default" r:id="rId9"/>
      <w:pgSz w:w="12240" w:h="15840"/>
      <w:pgMar w:top="1008" w:right="1296" w:bottom="1008"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