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3680" w:after="320"/>
        <w:jc w:val="center"/>
        <w:pBdr>
          <w:bottom w:val="single" w:sz="8" w:space="8" w:color="4472C4"/>
        </w:pBdr>
      </w:pPr>
      <w:r>
        <w:t>Data Quality Policy</w:t>
      </w:r>
    </w:p>
    <w:p>
      <w:pPr>
        <w:pStyle w:val="Subtitle"/>
      </w:pPr>
      <w:r>
        <w:t>Insurance | Retail &amp; Corporate Banking</w:t>
      </w:r>
    </w:p>
    <w:p/>
    <w:p>
      <w:pPr>
        <w:pStyle w:val="Subtitle"/>
      </w:pPr>
      <w:r>
        <w:t>Enterprise Governance Policy</w:t>
      </w:r>
    </w:p>
    <w:p>
      <w:r>
        <w:br w:type="page"/>
      </w:r>
    </w:p>
    <w:p>
      <w:pPr>
        <w:pStyle w:val="Heading1"/>
      </w:pPr>
      <w:r>
        <w:t>Document Information</w:t>
      </w:r>
    </w:p>
    <w:tbl>
      <w:tblPr>
        <w:tblStyle w:val="TableGrid"/>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824"/>
        <w:gridCol w:w="4824"/>
      </w:tblGrid>
      <w:tr>
        <w:trPr>
          <w:cantSplit/>
          <w:tblHeader w:val="true"/>
        </w:trPr>
        <w:tc>
          <w:tcPr>
            <w:tcW w:type="dxa" w:w="4824"/>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Attribute</w:t>
            </w:r>
          </w:p>
        </w:tc>
        <w:tc>
          <w:tcPr>
            <w:tcW w:type="dxa" w:w="4824"/>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Value</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Industry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Insurance</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Region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United Kingdom &amp; European Union</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Business Domain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Retail &amp; Corporate Banking</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Policy Type</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data quality</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Generation Type</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Specific</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Client Name</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Additional Context</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Applicable Regulations</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Parent Policy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Policy Owner</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Chief Data Officer</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Policy Custodian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Approval Authority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Data Governance Council / Executive Leadership</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Version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1.0</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Effective Date</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2026-10-01</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Review Frequency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Annual</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Classification</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Internal — Confidential</w:t>
            </w:r>
          </w:p>
        </w:tc>
      </w:tr>
      <w:tr>
        <w:trPr>
          <w:cantSplit/>
        </w:trPr>
        <w:tc>
          <w:tcPr>
            <w:tcW w:type="dxa" w:w="4824"/>
            <w:vAlign w:val="center"/>
            <w:tcMar>
              <w:top w:w="80" w:type="dxa"/>
              <w:start w:w="100" w:type="dxa"/>
              <w:bottom w:w="80" w:type="dxa"/>
              <w:end w:w="100" w:type="dxa"/>
            </w:tcMar>
          </w:tcPr>
          <w:p>
            <w:pPr>
              <w:spacing w:before="0" w:after="0" w:line="240" w:lineRule="auto"/>
            </w:pPr>
            <w:r>
              <w:rPr>
                <w:rFonts w:ascii="Aptos" w:hAnsi="Aptos"/>
                <w:b/>
                <w:sz w:val="20"/>
              </w:rPr>
              <w:t>Version History</w:t>
            </w:r>
          </w:p>
        </w:tc>
        <w:tc>
          <w:tcPr>
            <w:tcW w:type="dxa" w:w="4824"/>
            <w:vAlign w:val="center"/>
            <w:tcMar>
              <w:top w:w="80" w:type="dxa"/>
              <w:start w:w="100" w:type="dxa"/>
              <w:bottom w:w="80" w:type="dxa"/>
              <w:end w:w="100" w:type="dxa"/>
            </w:tcMar>
          </w:tcPr>
          <w:p>
            <w:pPr>
              <w:spacing w:before="0" w:after="0" w:line="240" w:lineRule="auto"/>
            </w:pPr>
            <w:r>
              <w:rPr>
                <w:rFonts w:ascii="Aptos" w:hAnsi="Aptos"/>
                <w:sz w:val="20"/>
              </w:rPr>
              <w:t>Version 1.0 - Initial Release - 24-Sep-2026</w:t>
            </w:r>
          </w:p>
        </w:tc>
      </w:tr>
    </w:tbl>
    <w:p>
      <w:r>
        <w:br w:type="page"/>
      </w:r>
    </w:p>
    <w:p>
      <w:pPr>
        <w:pStyle w:val="Heading1"/>
      </w:pPr>
      <w:r>
        <w:t>Table of Contents</w:t>
      </w:r>
    </w:p>
    <w:p>
      <w:r>
        <w:fldChar w:fldCharType="begin"/>
        <w:instrText xml:space="preserve"> TOC \o "1-3" \h \z \u </w:instrText>
        <w:fldChar w:fldCharType="separate"/>
        <w:t>Right-click to update the Table of Contents.</w:t>
        <w:fldChar w:fldCharType="end"/>
      </w:r>
    </w:p>
    <w:p>
      <w:pPr>
        <w:pStyle w:val="Heading1"/>
        <w:spacing w:after="120"/>
      </w:pPr>
      <w:r>
        <w:t>11 Policy Declaration &amp; Approval</w:t>
      </w:r>
    </w:p>
    <w:p>
      <w:pPr>
        <w:pStyle w:val="Heading1"/>
        <w:pageBreakBefore w:val="0"/>
      </w:pPr>
      <w:r>
        <w:t>3 Executive Summary</w:t>
      </w:r>
    </w:p>
    <w:p>
      <w:pPr>
        <w:spacing w:after="120"/>
      </w:pPr>
      <w:r>
        <w:t>This Master Data Management (MDM) Policy establishes enterprise-level governance for creation, maintenance, stewardship and authoritative use of master data within the retail and corporate banking lines of business operating in the United Kingdom and European Union. The policy defines governance expectations for Customer, Account, Product and Legal Entity master data to ensure trusted information for client onboarding, KYC/AML, credit decisioning, regulatory reporting and customer servicing.</w:t>
      </w:r>
    </w:p>
    <w:p>
      <w:pPr>
        <w:spacing w:after="120"/>
      </w:pPr>
      <w:r>
        <w:t>The policy addresses enterprise objectives to strengthen data integrity, support risk-sensitive decision-making, enable regulatory compliance (including data accuracy and traceability), and reduce operational risk arising from inconsistent or duplicate master records. It aligns with and is governed by the Enterprise Master Policy, providing specific requirements for MDM capability, governance structure, stewardship responsibilities and regulatory alignment. High-level regulatory drivers include EU/UK data protection requirements (accuracy and processing principles), financial regulatory expectations for risk-data aggregation and reporting, and AML/KYC obligations; this policy establishes organizational obligations and governance direction to meet those expectations without prescribing technical implementation.</w:t>
      </w:r>
    </w:p>
    <w:p>
      <w:pPr>
        <w:pStyle w:val="Heading1"/>
        <w:pageBreakBefore w:val="0"/>
      </w:pPr>
      <w:r>
        <w:t>4 Scope</w:t>
      </w:r>
    </w:p>
    <w:p>
      <w:pPr>
        <w:spacing w:after="120"/>
      </w:pPr>
      <w:r>
        <w:t>This policy applies to the specified organizational, business, data, technology, operational and stakeholder boundaries described below. It defines where MDM governance applies across the enterprise and does not prescribe implementation or operational procedures.</w:t>
      </w:r>
    </w:p>
    <w:p>
      <w:pPr>
        <w:pStyle w:val="Heading2"/>
        <w:spacing w:after="120"/>
      </w:pPr>
      <w:r>
        <w:t>4.1 Organizational Scope</w:t>
      </w:r>
    </w:p>
    <w:p>
      <w:pPr>
        <w:spacing w:after="120"/>
      </w:pPr>
      <w:r>
        <w:t>This policy applies to all subsidiaries, business units and operational locations of the enterprise that provide banking services within the United Kingdom and European Union, including retail banking, corporate banking, wealth management and centralized functions that contribute or rely upon master data (for example: Risk, Finance, Compliance, Operations).</w:t>
      </w:r>
    </w:p>
    <w:p>
      <w:pPr>
        <w:pStyle w:val="Heading2"/>
        <w:spacing w:after="120"/>
      </w:pPr>
      <w:r>
        <w:t>4.2 Business Scope</w:t>
      </w:r>
    </w:p>
    <w:p>
      <w:pPr>
        <w:spacing w:after="120"/>
      </w:pPr>
      <w:r>
        <w:t>This policy governs business functions and capabilities that create, maintain, approve or consume master data, including but not limited to: customer lifecycle management (onboarding, KYC), account and product management, credit decisioning, customer relationship management, regulatory reporting, finance and treasury processes, and client servicing. It applies to business processes that require consistent, authoritative master data to support operational and regulatory outcomes.</w:t>
      </w:r>
    </w:p>
    <w:p>
      <w:pPr>
        <w:pStyle w:val="Heading2"/>
        <w:spacing w:after="120"/>
      </w:pPr>
      <w:r>
        <w:t>4.3 Data Scope</w:t>
      </w:r>
    </w:p>
    <w:p>
      <w:pPr>
        <w:spacing w:after="120"/>
      </w:pPr>
      <w:r>
        <w:t>This policy governs master data assets and associated metadata for the following core domains:</w:t>
      </w:r>
    </w:p>
    <w:p>
      <w:pPr>
        <w:pStyle w:val="ListBullet"/>
      </w:pPr>
      <w:r>
        <w:t>Customer master data (identity, legal names, identifiers, status, relationships)</w:t>
      </w:r>
    </w:p>
    <w:p>
      <w:pPr>
        <w:pStyle w:val="ListBullet"/>
      </w:pPr>
      <w:r>
        <w:t>Account master data (account identifiers, status, product mappings)</w:t>
      </w:r>
    </w:p>
    <w:p>
      <w:pPr>
        <w:pStyle w:val="ListBullet"/>
      </w:pPr>
      <w:r>
        <w:t>Product master data (product definitions, attributes, pricing identifiers)</w:t>
      </w:r>
    </w:p>
    <w:p>
      <w:pPr>
        <w:pStyle w:val="ListBullet"/>
      </w:pPr>
      <w:r>
        <w:t>Legal Entity master data (corporate identifiers, ownership structures)</w:t>
      </w:r>
    </w:p>
    <w:p>
      <w:pPr>
        <w:pStyle w:val="ListBullet"/>
      </w:pPr>
      <w:r>
        <w:t>Reference data that establishes canonical codes and taxonomies used by master records</w:t>
      </w:r>
    </w:p>
    <w:p>
      <w:pPr>
        <w:pStyle w:val="ListBullet"/>
      </w:pPr>
      <w:r>
        <w:t>Business and technical metadata required to establish provenance, stewardship and lineage for master data</w:t>
      </w:r>
    </w:p>
    <w:p>
      <w:pPr>
        <w:spacing w:after="120"/>
      </w:pPr>
      <w:r>
        <w:t>Transactional, analytical and derived datasets that reference or depend on governed master data are within scope to the extent governance relies upon authoritative master records.</w:t>
      </w:r>
    </w:p>
    <w:p>
      <w:pPr>
        <w:pStyle w:val="Heading2"/>
        <w:spacing w:after="120"/>
      </w:pPr>
      <w:r>
        <w:t>4.4 Technology Scope</w:t>
      </w:r>
    </w:p>
    <w:p>
      <w:pPr>
        <w:spacing w:after="120"/>
      </w:pPr>
      <w:r>
        <w:t>The policy applies across the enterprise technology landscape that stores, manages or references master data including enterprise systems (CRM, Core Banking, Credit Systems), centralized MDM capability (logical or platform-agnostic), data integration layers, data warehouses and analytics platforms, and metadata repositories. The policy is technology-neutral and does not mandate specific products or configurations.</w:t>
      </w:r>
    </w:p>
    <w:p>
      <w:pPr>
        <w:pStyle w:val="Heading2"/>
        <w:spacing w:after="120"/>
      </w:pPr>
      <w:r>
        <w:t>4.5 Operational Scope</w:t>
      </w:r>
    </w:p>
    <w:p>
      <w:pPr>
        <w:spacing w:after="120"/>
      </w:pPr>
      <w:r>
        <w:t>Governance applies across the master data lifecycle: creation, validation, enrichment, maintenance, usage, sharing, archival and retirement. The policy governs decision rights, stewardship activities, data quality expectations and controls at each lifecycle stage; it does not define operational procedures or technical processes.</w:t>
      </w:r>
    </w:p>
    <w:p>
      <w:pPr>
        <w:pStyle w:val="Heading2"/>
        <w:spacing w:after="120"/>
      </w:pPr>
      <w:r>
        <w:t>4.6 Stakeholder Scope</w:t>
      </w:r>
    </w:p>
    <w:p>
      <w:pPr>
        <w:spacing w:after="120"/>
      </w:pPr>
      <w:r>
        <w:t>Stakeholders covered by this policy include Executive Leadership, Chief Data Officer, Business Data Owners, Data Stewards, Technology Custodians, Risk &amp; Compliance functions, Privacy Office, Information Security, Internal Audit and line-of-business managers who create or consume master data. Third-party providers delivering master data services are in scope to the extent contractual arrangements embed compliance with this policy.</w:t>
      </w:r>
    </w:p>
    <w:p>
      <w:pPr>
        <w:pStyle w:val="Heading1"/>
        <w:pageBreakBefore w:val="0"/>
      </w:pPr>
      <w:r>
        <w:t>5 Purpose</w:t>
      </w:r>
    </w:p>
    <w:p>
      <w:pPr>
        <w:spacing w:after="120"/>
      </w:pPr>
      <w:r>
        <w:t>Purpose</w:t>
      </w:r>
    </w:p>
    <w:p>
      <w:pPr>
        <w:spacing w:after="120"/>
      </w:pPr>
      <w:r>
        <w:t>This policy establishes governance requirements for the enterprise Master Data Management capability to ensure that master data is authoritative, accurate, consistent and auditable across banking operations in the UK and EU. It exists to reduce operational, compliance and reputational risk arising from inconsistent or inaccurate master records that affect customer due diligence, risk assessment, regulatory reporting and customer experience.</w:t>
      </w:r>
    </w:p>
    <w:p>
      <w:pPr>
        <w:spacing w:after="120"/>
      </w:pPr>
      <w:r>
        <w:t>Business Objectives</w:t>
      </w:r>
    </w:p>
    <w:p>
      <w:pPr>
        <w:pStyle w:val="ListBullet"/>
      </w:pPr>
      <w:r>
        <w:t>Provide a single source of truth for enterprise master data to support timely and accurate decision-making.</w:t>
      </w:r>
    </w:p>
    <w:p>
      <w:pPr>
        <w:pStyle w:val="ListBullet"/>
      </w:pPr>
      <w:r>
        <w:t>Ensure master data accuracy, completeness and integrity for KYC/AML compliance, credit risk management and regulatory reporting.</w:t>
      </w:r>
    </w:p>
    <w:p>
      <w:pPr>
        <w:pStyle w:val="ListBullet"/>
      </w:pPr>
      <w:r>
        <w:t>Enable accountable stewardship and clear decision rights for master data lifecycle activities.</w:t>
      </w:r>
    </w:p>
    <w:p>
      <w:pPr>
        <w:spacing w:after="120"/>
      </w:pPr>
      <w:r>
        <w:t>Policy Statement</w:t>
      </w:r>
    </w:p>
    <w:p>
      <w:pPr>
        <w:spacing w:after="120"/>
      </w:pPr>
      <w:r>
        <w:t>The enterprise shall govern master data as a strategic asset. Master data creation, maintenance, use and retirement shall be subject to defined governance, stewardship, security and compliance obligations. Business owners and data stewards shall be accountable for the quality and trustworthiness of master records within their domains.</w:t>
      </w:r>
    </w:p>
    <w:p>
      <w:pPr>
        <w:spacing w:after="120"/>
      </w:pPr>
      <w:r>
        <w:t>Relationship with Enterprise Master Policy</w:t>
      </w:r>
    </w:p>
    <w:p>
      <w:pPr>
        <w:spacing w:after="120"/>
      </w:pPr>
      <w:r>
        <w:t>This policy is a child document governed by the Enterprise Master Policy and provides specific governance direction for the Master Data Management capability. It complements enterprise-level governance by detailing MDM responsibilities, data domain coverage and regulatory alignment without supplanting enterprise policies.</w:t>
      </w:r>
    </w:p>
    <w:p>
      <w:pPr>
        <w:pStyle w:val="Heading1"/>
        <w:pageBreakBefore w:val="0"/>
      </w:pPr>
      <w:r>
        <w:t>6 Governance Framework</w:t>
      </w:r>
    </w:p>
    <w:p>
      <w:pPr>
        <w:spacing w:after="120"/>
      </w:pPr>
      <w:r>
        <w:t>Purpose</w:t>
      </w:r>
    </w:p>
    <w:p>
      <w:pPr>
        <w:spacing w:after="120"/>
      </w:pPr>
      <w:r>
        <w:t>The Governance Framework defines how the enterprise will govern master data to achieve trusted information, regulatory compliance and business value. It organizes governance into domains that collectively manage strategy, stewardship, quality, interoperability, security and compliance.</w:t>
      </w:r>
    </w:p>
    <w:p>
      <w:pPr>
        <w:spacing w:after="120"/>
      </w:pPr>
      <w:r>
        <w:t>Governance Domains</w:t>
      </w:r>
    </w:p>
    <w:p>
      <w:pPr>
        <w:pStyle w:val="ListBullet"/>
      </w:pPr>
      <w:r>
        <w:t>Strategy &amp; Oversight — Executive alignment, investment prioritization and MDM capability governance.</w:t>
      </w:r>
    </w:p>
    <w:p>
      <w:pPr>
        <w:pStyle w:val="ListBullet"/>
      </w:pPr>
      <w:r>
        <w:t>Data Model &amp; Canonical Definitions — Enterprise data model, canonical definitions and Critical Data Elements (CDEs).</w:t>
      </w:r>
    </w:p>
    <w:p>
      <w:pPr>
        <w:pStyle w:val="ListBullet"/>
      </w:pPr>
      <w:r>
        <w:t>Stewardship &amp; Accountability — Business ownership, steward roles and decision rights.</w:t>
      </w:r>
    </w:p>
    <w:p>
      <w:pPr>
        <w:pStyle w:val="ListBullet"/>
      </w:pPr>
      <w:r>
        <w:t>Data Quality Management — Quality dimensions, measurement, thresholds and exception handling.</w:t>
      </w:r>
    </w:p>
    <w:p>
      <w:pPr>
        <w:pStyle w:val="ListBullet"/>
      </w:pPr>
      <w:r>
        <w:t>Identity Resolution &amp; Golden Record — Policies for identity matching, linkage and golden record designation.</w:t>
      </w:r>
    </w:p>
    <w:p>
      <w:pPr>
        <w:pStyle w:val="ListBullet"/>
      </w:pPr>
      <w:r>
        <w:t>Lifecycle &amp; Change Control — Governance for creation, change approval, versioning and retirement of master records.</w:t>
      </w:r>
    </w:p>
    <w:p>
      <w:pPr>
        <w:pStyle w:val="ListBullet"/>
      </w:pPr>
      <w:r>
        <w:t>Integration &amp; Reference Data Management — Standards for interoperability, reference data authorities and mapping.</w:t>
      </w:r>
    </w:p>
    <w:p>
      <w:pPr>
        <w:pStyle w:val="ListBullet"/>
      </w:pPr>
      <w:r>
        <w:t>Access, Security &amp; Privacy — Access control, least privilege, privacy preservation and data minimization for master data.</w:t>
      </w:r>
    </w:p>
    <w:p>
      <w:pPr>
        <w:pStyle w:val="ListBullet"/>
      </w:pPr>
      <w:r>
        <w:t>Monitoring, Metrics &amp; Reporting — KPIs, dashboards and reporting obligations for governance performance.</w:t>
      </w:r>
    </w:p>
    <w:p>
      <w:pPr>
        <w:pStyle w:val="ListBullet"/>
      </w:pPr>
      <w:r>
        <w:t>Compliance, Auditability &amp; Evidence — Recordkeeping, lineage, audit trails and regulatory evidence requirements.</w:t>
      </w:r>
    </w:p>
    <w:p>
      <w:pPr>
        <w:spacing w:after="120"/>
      </w:pPr>
      <w:r>
        <w:t>Governance Principles (applied within domains)</w:t>
      </w:r>
    </w:p>
    <w:p>
      <w:pPr>
        <w:pStyle w:val="ListBullet"/>
      </w:pPr>
      <w:r>
        <w:t>Data as an Enterprise Asset — Master data shall be managed as a core enterprise asset, with explicit valuation and accountability.</w:t>
      </w:r>
    </w:p>
    <w:p>
      <w:pPr>
        <w:pStyle w:val="ListBullet"/>
      </w:pPr>
      <w:r>
        <w:t>Business Ownership &amp; Accountability — Business units shall own master data definitions and quality targets; stewardship shall be operationalized through designated roles.</w:t>
      </w:r>
    </w:p>
    <w:p>
      <w:pPr>
        <w:pStyle w:val="ListBullet"/>
      </w:pPr>
      <w:r>
        <w:t>Trusted Single Sources — Authoritative master records shall be defined and published for enterprise consumption.</w:t>
      </w:r>
    </w:p>
    <w:p>
      <w:pPr>
        <w:pStyle w:val="ListBullet"/>
      </w:pPr>
      <w:r>
        <w:t>Security &amp; Privacy by Design — Access, processing and sharing of master data shall embed security and privacy principles.</w:t>
      </w:r>
    </w:p>
    <w:p>
      <w:pPr>
        <w:pStyle w:val="ListBullet"/>
      </w:pPr>
      <w:r>
        <w:t>Risk-Based Controls — Governance shall be proportionate to business and regulatory risk associated with each master data domain.</w:t>
      </w:r>
    </w:p>
    <w:p>
      <w:pPr>
        <w:pStyle w:val="ListBullet"/>
      </w:pPr>
      <w:r>
        <w:t>Transparency &amp; Auditability — Provenance, lineage and decisions affecting master data shall be traceable and auditable.</w:t>
      </w:r>
    </w:p>
    <w:p>
      <w:pPr>
        <w:spacing w:after="120"/>
      </w:pPr>
      <w:r>
        <w:t>Governance Oversight</w:t>
      </w:r>
    </w:p>
    <w:p>
      <w:pPr>
        <w:pStyle w:val="ListBullet"/>
      </w:pPr>
      <w:r>
        <w:t>The Data Governance Council shall provide executive oversight of MDM strategy, approve critical CDEs, and arbitrate cross‐business conflicts.</w:t>
      </w:r>
    </w:p>
    <w:p>
      <w:pPr>
        <w:pStyle w:val="ListBullet"/>
      </w:pPr>
      <w:r>
        <w:t>The Chief Data Officer shall operationalize the framework and report governance performance to Executive Leadership and regulators as required.</w:t>
      </w:r>
    </w:p>
    <w:p>
      <w:pPr>
        <w:spacing w:after="120"/>
      </w:pPr>
      <w:r>
        <w:t>Decision-Making Model</w:t>
      </w:r>
    </w:p>
    <w:p>
      <w:pPr>
        <w:pStyle w:val="ListBullet"/>
      </w:pPr>
      <w:r>
        <w:t>Strategic decisions (policy, investment, CDE designation) shall be escalated to the Data Governance Council.</w:t>
      </w:r>
    </w:p>
    <w:p>
      <w:pPr>
        <w:pStyle w:val="ListBullet"/>
      </w:pPr>
      <w:r>
        <w:t>Business data modeling and stewardship decisions shall be owned by Business Data Owners with Data Steward facilitation.</w:t>
      </w:r>
    </w:p>
    <w:p>
      <w:pPr>
        <w:pStyle w:val="ListBullet"/>
      </w:pPr>
      <w:r>
        <w:t>Technical integration and operational availability decisions shall be coordinated with Technology Custodians.</w:t>
      </w:r>
    </w:p>
    <w:p>
      <w:pPr>
        <w:pStyle w:val="Heading1"/>
        <w:pageBreakBefore w:val="0"/>
      </w:pPr>
      <w:r>
        <w:t>7 Roles &amp; Responsibilities</w:t>
      </w:r>
    </w:p>
    <w:p>
      <w:pPr>
        <w:spacing w:after="120"/>
      </w:pPr>
      <w:r>
        <w:t>This section defines governance accountabilities for MDM. Responsibilities are governance-focused and do not describe operational tasks.</w:t>
      </w:r>
    </w:p>
    <w:p>
      <w:pPr>
        <w:pStyle w:val="Heading2"/>
        <w:spacing w:after="120"/>
      </w:pPr>
      <w:r>
        <w:t>7.1 Executive Sponsor</w:t>
      </w:r>
    </w:p>
    <w:p>
      <w:pPr>
        <w:spacing w:after="120"/>
      </w:pPr>
      <w:r>
        <w:t>Purpose: Provide visible executive support and ensure alignment with enterprise strategy.</w:t>
      </w:r>
    </w:p>
    <w:p>
      <w:pPr>
        <w:spacing w:after="120"/>
      </w:pPr>
      <w:r>
        <w:t>Responsibilities:</w:t>
      </w:r>
    </w:p>
    <w:p>
      <w:pPr>
        <w:pStyle w:val="ListBullet"/>
      </w:pPr>
      <w:r>
        <w:t>Sponsor enterprise MDM objectives and secure necessary investment.</w:t>
      </w:r>
    </w:p>
    <w:p>
      <w:pPr>
        <w:pStyle w:val="ListBullet"/>
      </w:pPr>
      <w:r>
        <w:t>Endorse MDM policy, strategy and major governance decisions.</w:t>
      </w:r>
    </w:p>
    <w:p>
      <w:pPr>
        <w:pStyle w:val="ListBullet"/>
      </w:pPr>
      <w:r>
        <w:t>Champion cross-functional cooperation and escalation resolution.</w:t>
      </w:r>
    </w:p>
    <w:p>
      <w:pPr>
        <w:pStyle w:val="Heading2"/>
        <w:spacing w:after="120"/>
      </w:pPr>
      <w:r>
        <w:t>7.2 Business Owner</w:t>
      </w:r>
    </w:p>
    <w:p>
      <w:pPr>
        <w:spacing w:after="120"/>
      </w:pPr>
      <w:r>
        <w:t>Purpose: Own business outcomes and accountability for master data within a business domain.</w:t>
      </w:r>
    </w:p>
    <w:p>
      <w:pPr>
        <w:spacing w:after="120"/>
      </w:pPr>
      <w:r>
        <w:t>Responsibilities:</w:t>
      </w:r>
    </w:p>
    <w:p>
      <w:pPr>
        <w:pStyle w:val="ListBullet"/>
      </w:pPr>
      <w:r>
        <w:t>Define and approve business definitions, CDEs and acceptable quality levels for domain master data.</w:t>
      </w:r>
    </w:p>
    <w:p>
      <w:pPr>
        <w:pStyle w:val="ListBullet"/>
      </w:pPr>
      <w:r>
        <w:t>Authorize major changes to master data definitions or golden record policy for their domain.</w:t>
      </w:r>
    </w:p>
    <w:p>
      <w:pPr>
        <w:pStyle w:val="ListBullet"/>
      </w:pPr>
      <w:r>
        <w:t>Ensure business processes incorporate authoritative master data in operational decision-making.</w:t>
      </w:r>
    </w:p>
    <w:p>
      <w:pPr>
        <w:pStyle w:val="Heading2"/>
        <w:spacing w:after="120"/>
      </w:pPr>
      <w:r>
        <w:t>7.3 Data Owner</w:t>
      </w:r>
    </w:p>
    <w:p>
      <w:pPr>
        <w:spacing w:after="120"/>
      </w:pPr>
      <w:r>
        <w:t>Purpose: Maintain formal accountability for the accuracy and fitness-for-purpose of master data.</w:t>
      </w:r>
    </w:p>
    <w:p>
      <w:pPr>
        <w:spacing w:after="120"/>
      </w:pPr>
      <w:r>
        <w:t>Responsibilities:</w:t>
      </w:r>
    </w:p>
    <w:p>
      <w:pPr>
        <w:pStyle w:val="ListBullet"/>
      </w:pPr>
      <w:r>
        <w:t>Accept accountability for data quality, lifecycle decisions and regulatory obligations for assigned master data.</w:t>
      </w:r>
    </w:p>
    <w:p>
      <w:pPr>
        <w:pStyle w:val="ListBullet"/>
      </w:pPr>
      <w:r>
        <w:t>Approve data stewardship assignments and delegated decision rights.</w:t>
      </w:r>
    </w:p>
    <w:p>
      <w:pPr>
        <w:pStyle w:val="ListBullet"/>
      </w:pPr>
      <w:r>
        <w:t>Validate that master data meets business, risk and regulatory requirements.</w:t>
      </w:r>
    </w:p>
    <w:p>
      <w:pPr>
        <w:pStyle w:val="Heading2"/>
        <w:spacing w:after="120"/>
      </w:pPr>
      <w:r>
        <w:t>7.4 Data Steward</w:t>
      </w:r>
    </w:p>
    <w:p>
      <w:pPr>
        <w:spacing w:after="120"/>
      </w:pPr>
      <w:r>
        <w:t>Purpose: Act as the day-to-day governance representative for master data domains.</w:t>
      </w:r>
    </w:p>
    <w:p>
      <w:pPr>
        <w:spacing w:after="120"/>
      </w:pPr>
      <w:r>
        <w:t>Responsibilities:</w:t>
      </w:r>
    </w:p>
    <w:p>
      <w:pPr>
        <w:pStyle w:val="ListBullet"/>
      </w:pPr>
      <w:r>
        <w:t>Coordinate stewardship activities, maintain metadata and ensure adherence to canonical definitions.</w:t>
      </w:r>
    </w:p>
    <w:p>
      <w:pPr>
        <w:pStyle w:val="ListBullet"/>
      </w:pPr>
      <w:r>
        <w:t>Facilitate remediation of data quality issues and manage exception processes in collaboration with Data Owners.</w:t>
      </w:r>
    </w:p>
    <w:p>
      <w:pPr>
        <w:pStyle w:val="ListBullet"/>
      </w:pPr>
      <w:r>
        <w:t>Maintain documentation of lineage, business rules and stewardship decisions.</w:t>
      </w:r>
    </w:p>
    <w:p>
      <w:pPr>
        <w:pStyle w:val="Heading2"/>
        <w:spacing w:after="120"/>
      </w:pPr>
      <w:r>
        <w:t>7.5 Technology Custodian</w:t>
      </w:r>
    </w:p>
    <w:p>
      <w:pPr>
        <w:spacing w:after="120"/>
      </w:pPr>
      <w:r>
        <w:t>Purpose: Provide governance-aligned operational custody of systems and technical controls that store or process master data.</w:t>
      </w:r>
    </w:p>
    <w:p>
      <w:pPr>
        <w:spacing w:after="120"/>
      </w:pPr>
      <w:r>
        <w:t>Responsibilities:</w:t>
      </w:r>
    </w:p>
    <w:p>
      <w:pPr>
        <w:pStyle w:val="ListBullet"/>
      </w:pPr>
      <w:r>
        <w:t>Ensure systems support required provenance, audit logging and access controls to meet governance obligations.</w:t>
      </w:r>
    </w:p>
    <w:p>
      <w:pPr>
        <w:pStyle w:val="ListBullet"/>
      </w:pPr>
      <w:r>
        <w:t>Collaborate with Data Stewards to enable data lineage, integration and interoperability requirements.</w:t>
      </w:r>
    </w:p>
    <w:p>
      <w:pPr>
        <w:pStyle w:val="ListBullet"/>
      </w:pPr>
      <w:r>
        <w:t>Validate technical controls supporting data quality and security are in place and documented.</w:t>
      </w:r>
    </w:p>
    <w:p>
      <w:pPr>
        <w:pStyle w:val="Heading2"/>
        <w:spacing w:after="120"/>
      </w:pPr>
      <w:r>
        <w:t>7.6 Risk, Security &amp; Compliance</w:t>
      </w:r>
    </w:p>
    <w:p>
      <w:pPr>
        <w:spacing w:after="120"/>
      </w:pPr>
      <w:r>
        <w:t>Purpose: Provide independent oversight of risk, privacy and regulatory compliance aspects of master data governance.</w:t>
      </w:r>
    </w:p>
    <w:p>
      <w:pPr>
        <w:spacing w:after="120"/>
      </w:pPr>
      <w:r>
        <w:t>Responsibilities:</w:t>
      </w:r>
    </w:p>
    <w:p>
      <w:pPr>
        <w:pStyle w:val="ListBullet"/>
      </w:pPr>
      <w:r>
        <w:t>Validate that MDM governance meets regulatory expectations for accuracy, traceability and privacy.</w:t>
      </w:r>
    </w:p>
    <w:p>
      <w:pPr>
        <w:pStyle w:val="ListBullet"/>
      </w:pPr>
      <w:r>
        <w:t>Assess residual risk related to master data usage and provide recommendations for mitigating controls.</w:t>
      </w:r>
    </w:p>
    <w:p>
      <w:pPr>
        <w:pStyle w:val="ListBullet"/>
      </w:pPr>
      <w:r>
        <w:t>Coordinate regulatory reporting implications and audit readiness activities with Data Owners and Stewards.</w:t>
      </w:r>
    </w:p>
    <w:p>
      <w:pPr>
        <w:pStyle w:val="Heading1"/>
        <w:pageBreakBefore w:val="0"/>
      </w:pPr>
      <w:r>
        <w:t>8 Regulatory Mapping</w:t>
      </w:r>
    </w:p>
    <w:p>
      <w:pPr>
        <w:spacing w:after="120"/>
      </w:pPr>
      <w:r>
        <w:t>The table below maps relevant regulations and standards to governance requirements and indicates how this policy supports compliance.</w:t>
      </w:r>
    </w:p>
    <w:tbl>
      <w:tblPr>
        <w:tblStyle w:val="TableGrid"/>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216"/>
        <w:gridCol w:w="3216"/>
        <w:gridCol w:w="3216"/>
      </w:tblGrid>
      <w:tr>
        <w:trPr>
          <w:cantSplit/>
          <w:tblHeader w:val="true"/>
        </w:trPr>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Regulation / Standard</w:t>
            </w:r>
          </w:p>
        </w:tc>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Governance Requirement</w:t>
            </w:r>
          </w:p>
        </w:tc>
        <w:tc>
          <w:tcPr>
            <w:tcW w:type="dxa" w:w="3216"/>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Policy Coverage</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EU General Data Protection Regulation (GDPR) &amp; UK GDPR</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Ensure accuracy, updateability, lawful basis for processing, and data subject rights for personal master data.</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Establishes accuracy, provenance, stewardship and privacy-aligned access controls for Customer master records.</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Anti-Money Laundering Directives / AML Regulations (EU/UK)</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Maintain accurate, verifiable identity and relationship data to support customer due diligence and transaction monitoring.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Requires authoritative Customer and Legal Entity master records, stewardship accountability and evidence of validation.</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Basel Committee on Banking Supervision (BCBS 239) — Risk Data Aggregation &amp; Reporting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Ensure completeness, accuracy, timeliness and governance of risk-critical master data used in aggregation and reporting.</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Requires CDE identification, governance oversight, lineage and quality metrics for master data used in risk reporting.</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Financial Conduct Authority (FCA) / National Supervisory Authorities</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Demonstrate governance, controls and evidence supporting customer outcomes, reporting and operational resilience.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Policy prescribes stewardship, auditability and decision rights supporting regulatory evidence and reporting.</w:t>
            </w:r>
          </w:p>
        </w:tc>
      </w:tr>
      <w:tr>
        <w:trPr>
          <w:cantSplit/>
        </w:trPr>
        <w:tc>
          <w:tcPr>
            <w:tcW w:type="dxa" w:w="3216"/>
            <w:vAlign w:val="center"/>
            <w:tcMar>
              <w:top w:w="80" w:type="dxa"/>
              <w:start w:w="100" w:type="dxa"/>
              <w:bottom w:w="80" w:type="dxa"/>
              <w:end w:w="100" w:type="dxa"/>
            </w:tcMar>
          </w:tcPr>
          <w:p>
            <w:pPr>
              <w:spacing w:before="0" w:after="0" w:line="240" w:lineRule="auto"/>
            </w:pPr>
            <w:r>
              <w:rPr>
                <w:rFonts w:ascii="Aptos" w:hAnsi="Aptos"/>
                <w:sz w:val="20"/>
              </w:rPr>
              <w:t>Payment Services Directive (PSD2) — where applicable</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Maintain consistent customer and account identifiers to support secure payment initiation and reconciliation.</w:t>
            </w:r>
          </w:p>
        </w:tc>
        <w:tc>
          <w:tcPr>
            <w:tcW w:type="dxa" w:w="3216"/>
            <w:vAlign w:val="center"/>
            <w:tcMar>
              <w:top w:w="80" w:type="dxa"/>
              <w:start w:w="100" w:type="dxa"/>
              <w:bottom w:w="80" w:type="dxa"/>
              <w:end w:w="100" w:type="dxa"/>
            </w:tcMar>
          </w:tcPr>
          <w:p>
            <w:pPr>
              <w:spacing w:before="0" w:after="0" w:line="240" w:lineRule="auto"/>
            </w:pPr>
            <w:r>
              <w:rPr>
                <w:rFonts w:ascii="Aptos" w:hAnsi="Aptos"/>
                <w:sz w:val="20"/>
              </w:rPr>
              <w:t>Governance for Account and Customer master data supporting secure and auditable payment processes.</w:t>
            </w:r>
          </w:p>
        </w:tc>
      </w:tr>
    </w:tbl>
    <w:p>
      <w:pPr>
        <w:spacing w:after="120"/>
      </w:pPr>
      <w:r>
        <w:t>This policy provides governance direction to meet the obligations above through defined stewardship, CDE designation, quality targets, provenance and access controls; detailed implementation and controls shall be reflected in supporting standards and procedures.</w:t>
      </w:r>
    </w:p>
    <w:p>
      <w:pPr>
        <w:pStyle w:val="Heading1"/>
        <w:pageBreakBefore w:val="0"/>
      </w:pPr>
      <w:r>
        <w:t>9 Policy Requirements</w:t>
      </w:r>
    </w:p>
    <w:p>
      <w:pPr>
        <w:spacing w:after="120"/>
      </w:pPr>
      <w:r>
        <w:t>This section defines governance requirements for enterprise Master Data Management. Each governance domain states expectations, direction and accountability without prescribing operational implementation.</w:t>
      </w:r>
    </w:p>
    <w:p>
      <w:pPr>
        <w:pStyle w:val="Heading2"/>
        <w:spacing w:after="120"/>
      </w:pPr>
      <w:r>
        <w:t>9.1 MDM Governance &amp; Strategy</w:t>
      </w:r>
    </w:p>
    <w:p>
      <w:pPr>
        <w:spacing w:after="120"/>
      </w:pPr>
      <w:r>
        <w:t>Purpose: Ensure enterprise alignment and sustainable MDM capability.</w:t>
      </w:r>
    </w:p>
    <w:p>
      <w:pPr>
        <w:spacing w:after="120"/>
      </w:pPr>
      <w:r>
        <w:t>Requirements:</w:t>
      </w:r>
    </w:p>
    <w:p>
      <w:pPr>
        <w:pStyle w:val="ListBullet"/>
      </w:pPr>
      <w:r>
        <w:t>The enterprise shall maintain an MDM strategy approved by the Data Governance Council that articulates objectives, scope, operating model and investment priorities.</w:t>
      </w:r>
    </w:p>
    <w:p>
      <w:pPr>
        <w:pStyle w:val="ListBullet"/>
      </w:pPr>
      <w:r>
        <w:t>MDM governance shall be integrated with enterprise risk and compliance frameworks; funding and resources shall be commensurate with criticality of master data.</w:t>
      </w:r>
    </w:p>
    <w:p>
      <w:pPr>
        <w:pStyle w:val="ListBullet"/>
      </w:pPr>
      <w:r>
        <w:t>The Data Governance Council shall approve the enterprise list of Critical Data Elements (CDEs) and the criteria for designation.</w:t>
      </w:r>
    </w:p>
    <w:p>
      <w:pPr>
        <w:pStyle w:val="Heading2"/>
        <w:spacing w:after="120"/>
      </w:pPr>
      <w:r>
        <w:t>9.2 Master Data Model &amp; Canonical Definitions</w:t>
      </w:r>
    </w:p>
    <w:p>
      <w:pPr>
        <w:spacing w:after="120"/>
      </w:pPr>
      <w:r>
        <w:t>Purpose: Establish consistent semantics and authoritative definitions.</w:t>
      </w:r>
    </w:p>
    <w:p>
      <w:pPr>
        <w:spacing w:after="120"/>
      </w:pPr>
      <w:r>
        <w:t>Requirements:</w:t>
      </w:r>
    </w:p>
    <w:p>
      <w:pPr>
        <w:pStyle w:val="ListBullet"/>
      </w:pPr>
      <w:r>
        <w:t>The enterprise shall maintain and publish a canonical enterprise data model for master data domains that defines business semantics, mandatory attributes and relationships.</w:t>
      </w:r>
    </w:p>
    <w:p>
      <w:pPr>
        <w:pStyle w:val="ListBullet"/>
      </w:pPr>
      <w:r>
        <w:t>Business Owners shall be accountable for approving canonical definitions for their domain; definitions shall be discoverable via enterprise metadata.</w:t>
      </w:r>
    </w:p>
    <w:p>
      <w:pPr>
        <w:pStyle w:val="ListBullet"/>
      </w:pPr>
      <w:r>
        <w:t>All master data attributes identified as CDEs shall have documented business definitions, accepted value domains, and clear source system authorities.</w:t>
      </w:r>
    </w:p>
    <w:p>
      <w:pPr>
        <w:pStyle w:val="Heading2"/>
        <w:spacing w:after="120"/>
      </w:pPr>
      <w:r>
        <w:t>9.3 Identity Resolution &amp; Golden Record Management</w:t>
      </w:r>
    </w:p>
    <w:p>
      <w:pPr>
        <w:spacing w:after="120"/>
      </w:pPr>
      <w:r>
        <w:t>Purpose: Provide governance for entity resolution, deduplication and authoritative record designation.</w:t>
      </w:r>
    </w:p>
    <w:p>
      <w:pPr>
        <w:spacing w:after="120"/>
      </w:pPr>
      <w:r>
        <w:t>Requirements:</w:t>
      </w:r>
    </w:p>
    <w:p>
      <w:pPr>
        <w:pStyle w:val="ListBullet"/>
      </w:pPr>
      <w:r>
        <w:t>The enterprise shall define and document the governance criteria for identity matching, record linkage and conditions under which a golden record is established, modified or deprecated.</w:t>
      </w:r>
    </w:p>
    <w:p>
      <w:pPr>
        <w:pStyle w:val="ListBullet"/>
      </w:pPr>
      <w:r>
        <w:t>Golden record designations shall be explicit, documented, and authorized by the relevant Business Owner; provenance and linkage decisions shall be retained as auditable metadata.</w:t>
      </w:r>
    </w:p>
    <w:p>
      <w:pPr>
        <w:pStyle w:val="ListBullet"/>
      </w:pPr>
      <w:r>
        <w:t>Rules for resolving conflicts between source systems shall be governed by business-approved precedence and reconciliation policies.</w:t>
      </w:r>
    </w:p>
    <w:p>
      <w:pPr>
        <w:pStyle w:val="Heading2"/>
        <w:spacing w:after="120"/>
      </w:pPr>
      <w:r>
        <w:t>9.4 Data Quality &amp; Stewardship</w:t>
      </w:r>
    </w:p>
    <w:p>
      <w:pPr>
        <w:spacing w:after="120"/>
      </w:pPr>
      <w:r>
        <w:t>Purpose: Ensure master data meets business and regulatory quality expectations.</w:t>
      </w:r>
    </w:p>
    <w:p>
      <w:pPr>
        <w:spacing w:after="120"/>
      </w:pPr>
      <w:r>
        <w:t>Requirements:</w:t>
      </w:r>
    </w:p>
    <w:p>
      <w:pPr>
        <w:pStyle w:val="ListBullet"/>
      </w:pPr>
      <w:r>
        <w:t>Data Owners shall set measurable quality targets and thresholds for master data attributes and CDEs, aligned to business use-cases and regulatory obligations.</w:t>
      </w:r>
    </w:p>
    <w:p>
      <w:pPr>
        <w:pStyle w:val="ListBullet"/>
      </w:pPr>
      <w:r>
        <w:t>Data Stewards shall monitor quality metrics, report exceptions, and coordinate remediation; material quality exceptions that affect business or regulatory outcomes shall be escalated per governance procedures.</w:t>
      </w:r>
    </w:p>
    <w:p>
      <w:pPr>
        <w:pStyle w:val="ListBullet"/>
      </w:pPr>
      <w:r>
        <w:t>Quality expectations shall consider accuracy, completeness, timeliness, consistency and uniqueness; measurement definitions and reporting cadence shall be defined in supporting standards.</w:t>
      </w:r>
    </w:p>
    <w:p>
      <w:pPr>
        <w:pStyle w:val="Heading2"/>
        <w:spacing w:after="120"/>
      </w:pPr>
      <w:r>
        <w:t>9.5 Data Lifecycle, Change Control &amp; Provenance</w:t>
      </w:r>
    </w:p>
    <w:p>
      <w:pPr>
        <w:spacing w:after="120"/>
      </w:pPr>
      <w:r>
        <w:t>Purpose: Govern master data changes and provide traceable provenance.</w:t>
      </w:r>
    </w:p>
    <w:p>
      <w:pPr>
        <w:spacing w:after="120"/>
      </w:pPr>
      <w:r>
        <w:t>Requirements:</w:t>
      </w:r>
    </w:p>
    <w:p>
      <w:pPr>
        <w:pStyle w:val="ListBullet"/>
      </w:pPr>
      <w:r>
        <w:t>Changes to canonical definitions, CDE status, or golden record determination shall follow formal change control governance with documented approvals by Business Owners and notification to impacted stakeholders.</w:t>
      </w:r>
    </w:p>
    <w:p>
      <w:pPr>
        <w:pStyle w:val="ListBullet"/>
      </w:pPr>
      <w:r>
        <w:t>Master data lifecycle states (creation, active, dormant, archived, retired) shall be defined; transitions shall be governed and recorded with authoritative timestamps and responsible parties.</w:t>
      </w:r>
    </w:p>
    <w:p>
      <w:pPr>
        <w:pStyle w:val="ListBullet"/>
      </w:pPr>
      <w:r>
        <w:t>Provenance metadata capturing source system, steward actions and change rationale shall be maintained to support auditability and regulatory inquiries.</w:t>
      </w:r>
    </w:p>
    <w:p>
      <w:pPr>
        <w:pStyle w:val="Heading2"/>
        <w:spacing w:after="120"/>
      </w:pPr>
      <w:r>
        <w:t>9.6 Integration, Interoperability &amp; Reference Data Management</w:t>
      </w:r>
    </w:p>
    <w:p>
      <w:pPr>
        <w:spacing w:after="120"/>
      </w:pPr>
      <w:r>
        <w:t>Purpose: Ensure consistent use of reference data and interoperability across systems.</w:t>
      </w:r>
    </w:p>
    <w:p>
      <w:pPr>
        <w:spacing w:after="120"/>
      </w:pPr>
      <w:r>
        <w:t>Requirements:</w:t>
      </w:r>
    </w:p>
    <w:p>
      <w:pPr>
        <w:pStyle w:val="ListBullet"/>
      </w:pPr>
      <w:r>
        <w:t>The enterprise shall designate authoritative sources for reference data and maintain controlled mapping between enterprise canonical codes and local system codes.</w:t>
      </w:r>
    </w:p>
    <w:p>
      <w:pPr>
        <w:pStyle w:val="ListBullet"/>
      </w:pPr>
      <w:r>
        <w:t>Integration patterns and data exchange semantics for master data shall be governed to ensure consumers receive authoritative values and mapping metadata.</w:t>
      </w:r>
    </w:p>
    <w:p>
      <w:pPr>
        <w:pStyle w:val="ListBullet"/>
      </w:pPr>
      <w:r>
        <w:t>Reference data authorities and stewardship shall be subject to the same governance, change control and quality expectations as master data.</w:t>
      </w:r>
    </w:p>
    <w:p>
      <w:pPr>
        <w:pStyle w:val="Heading2"/>
        <w:spacing w:after="120"/>
      </w:pPr>
      <w:r>
        <w:t>9.7 Access, Security &amp; Privacy for Master Data</w:t>
      </w:r>
    </w:p>
    <w:p>
      <w:pPr>
        <w:spacing w:after="120"/>
      </w:pPr>
      <w:r>
        <w:t>Purpose: Protect master data confidentiality, integrity and privacy in line with regulatory obligations.</w:t>
      </w:r>
    </w:p>
    <w:p>
      <w:pPr>
        <w:spacing w:after="120"/>
      </w:pPr>
      <w:r>
        <w:t>Requirements:</w:t>
      </w:r>
    </w:p>
    <w:p>
      <w:pPr>
        <w:pStyle w:val="ListBullet"/>
      </w:pPr>
      <w:r>
        <w:t>Access to master data shall be governed by least-privilege principles; authorization for elevated access shall be approved by Business Owners and logged.</w:t>
      </w:r>
    </w:p>
    <w:p>
      <w:pPr>
        <w:pStyle w:val="ListBullet"/>
      </w:pPr>
      <w:r>
        <w:t>Master data containing personal data shall be processed in accordance with applicable data protection requirements; Data Owners shall ensure lawful bases, retention limits and data subject rights are respected.</w:t>
      </w:r>
    </w:p>
    <w:p>
      <w:pPr>
        <w:pStyle w:val="ListBullet"/>
      </w:pPr>
      <w:r>
        <w:t>Security and encryption expectations for master data at rest and in transit shall be defined in supporting security standards; Technology Custodians shall ensure systems can provide required audit trails.</w:t>
      </w:r>
    </w:p>
    <w:p>
      <w:pPr>
        <w:pStyle w:val="Heading2"/>
        <w:spacing w:after="120"/>
      </w:pPr>
      <w:r>
        <w:t>9.8 Monitoring, Metrics &amp; Reporting</w:t>
      </w:r>
    </w:p>
    <w:p>
      <w:pPr>
        <w:spacing w:after="120"/>
      </w:pPr>
      <w:r>
        <w:t>Purpose: Provide transparency and measure MDM effectiveness.</w:t>
      </w:r>
    </w:p>
    <w:p>
      <w:pPr>
        <w:spacing w:after="120"/>
      </w:pPr>
      <w:r>
        <w:t>Requirements:</w:t>
      </w:r>
    </w:p>
    <w:p>
      <w:pPr>
        <w:pStyle w:val="ListBullet"/>
      </w:pPr>
      <w:r>
        <w:t>The enterprise shall maintain a dashboard of MDM metrics covering CDE quality, exception volumes, stewardship performance and remediation progress; the Chief Data Officer shall report these metrics to Executive Leadership and the Data Governance Council.</w:t>
      </w:r>
    </w:p>
    <w:p>
      <w:pPr>
        <w:pStyle w:val="ListBullet"/>
      </w:pPr>
      <w:r>
        <w:t>Key performance indicators shall be defined for business-relevant outcomes (e.g., percentage of verified customer identities, duplicate rate, time-to-remediate critical issues).</w:t>
      </w:r>
    </w:p>
    <w:p>
      <w:pPr>
        <w:pStyle w:val="ListBullet"/>
      </w:pPr>
      <w:r>
        <w:t>Regular reporting shall include material incidents that affect regulatory reporting or customer outcomes and actions taken to remediate.</w:t>
      </w:r>
    </w:p>
    <w:p>
      <w:pPr>
        <w:pStyle w:val="Heading2"/>
        <w:spacing w:after="120"/>
      </w:pPr>
      <w:r>
        <w:t>9.9 Issue Management, Remediation &amp; Escalation</w:t>
      </w:r>
    </w:p>
    <w:p>
      <w:pPr>
        <w:spacing w:after="120"/>
      </w:pPr>
      <w:r>
        <w:t>Purpose: Ensure timely resolution of material master data issues.</w:t>
      </w:r>
    </w:p>
    <w:p>
      <w:pPr>
        <w:spacing w:after="120"/>
      </w:pPr>
      <w:r>
        <w:t>Requirements:</w:t>
      </w:r>
    </w:p>
    <w:p>
      <w:pPr>
        <w:pStyle w:val="ListBullet"/>
      </w:pPr>
      <w:r>
        <w:t>Data Stewards shall triage data quality incidents and coordinate remediation with Business Owners and Technology Custodians; incident classification criteria and escalation paths shall be established.</w:t>
      </w:r>
    </w:p>
    <w:p>
      <w:pPr>
        <w:pStyle w:val="ListBullet"/>
      </w:pPr>
      <w:r>
        <w:t>Material issues that present regulatory, financial or reputational risk shall be escalated to the Data Governance Council and Risk function within defined timeframes.</w:t>
      </w:r>
    </w:p>
    <w:p>
      <w:pPr>
        <w:pStyle w:val="ListBullet"/>
      </w:pPr>
      <w:r>
        <w:t>Remediation plans shall include root cause assessment, corrective actions and verification of effectiveness; evidence of remediation shall be retained for audit.</w:t>
      </w:r>
    </w:p>
    <w:p>
      <w:pPr>
        <w:pStyle w:val="Heading2"/>
        <w:spacing w:after="120"/>
      </w:pPr>
      <w:r>
        <w:t>9.10 Auditability &amp; Regulatory Compliance</w:t>
      </w:r>
    </w:p>
    <w:p>
      <w:pPr>
        <w:spacing w:after="120"/>
      </w:pPr>
      <w:r>
        <w:t>Purpose: Maintain evidence of governance and compliance for regulators and auditors.</w:t>
      </w:r>
    </w:p>
    <w:p>
      <w:pPr>
        <w:spacing w:after="120"/>
      </w:pPr>
      <w:r>
        <w:t>Requirements:</w:t>
      </w:r>
    </w:p>
    <w:p>
      <w:pPr>
        <w:pStyle w:val="ListBullet"/>
      </w:pPr>
      <w:r>
        <w:t>The enterprise shall retain auditable evidence of stewardship decisions, provenance, change approvals and remediation activities for master data sufficient to support regulatory examinations.</w:t>
      </w:r>
    </w:p>
    <w:p>
      <w:pPr>
        <w:pStyle w:val="ListBullet"/>
      </w:pPr>
      <w:r>
        <w:t>Periodic governance reviews and independent audits shall assess adherence to this policy and the effectiveness of MDM controls; deficiencies shall be remediated under Risk oversight.</w:t>
      </w:r>
    </w:p>
    <w:p>
      <w:pPr>
        <w:pStyle w:val="ListBullet"/>
      </w:pPr>
      <w:r>
        <w:t>Where master data supports regulated activities (e.g., KYC, capital calculations), Data Owners shall demonstrate that data meets regulatory accuracy and traceability expectations.</w:t>
      </w:r>
    </w:p>
    <w:p>
      <w:pPr>
        <w:pStyle w:val="Heading1"/>
        <w:pageBreakBefore w:val="0"/>
      </w:pPr>
      <w:r>
        <w:t>10 Related Sub-Policies</w:t>
      </w:r>
    </w:p>
    <w:p>
      <w:pPr>
        <w:pStyle w:val="Heading2"/>
        <w:pageBreakBefore w:val="0"/>
      </w:pPr>
      <w:r>
        <w:t>10.1 Master Data Standards</w:t>
      </w:r>
    </w:p>
    <w:p>
      <w:pPr>
        <w:spacing w:after="120"/>
      </w:pPr>
      <w:r>
        <w:t>The Master Data Standards document shall define required attribute-level definitions, allowable value sets, metadata requirements and CDE classification rules. It supports this policy by operationalizing canonical definitions and providing consistent technical and business standards for master data across the enterprise.</w:t>
      </w:r>
    </w:p>
    <w:p>
      <w:pPr>
        <w:pStyle w:val="Heading2"/>
        <w:pageBreakBefore w:val="0"/>
      </w:pPr>
      <w:r>
        <w:t>10.2 Data Quality Standard</w:t>
      </w:r>
    </w:p>
    <w:p>
      <w:pPr>
        <w:spacing w:after="120"/>
      </w:pPr>
      <w:r>
        <w:t>The Data Quality Standard shall specify quality dimensions, measurement methodologies, acceptable thresholds and reporting formats. It supports this policy by translating governance expectations for accuracy, completeness, timeliness and uniqueness into measurable quality controls and monitoring requirements.</w:t>
      </w:r>
    </w:p>
    <w:p>
      <w:pPr>
        <w:pStyle w:val="Heading2"/>
        <w:pageBreakBefore w:val="0"/>
      </w:pPr>
      <w:r>
        <w:t>10.3 Identity Resolution Guideline</w:t>
      </w:r>
    </w:p>
    <w:p>
      <w:pPr>
        <w:spacing w:after="120"/>
      </w:pPr>
      <w:r>
        <w:t>The Identity Resolution Guideline shall provide governance direction for matching logic, confidence scoring, duplicate handling and golden record criteria. It supports this policy by ensuring identity linkage practices are governed, auditable and aligned with business risk and regulatory obligations.</w:t>
      </w:r>
    </w:p>
    <w:p>
      <w:pPr>
        <w:pStyle w:val="Heading2"/>
        <w:pageBreakBefore w:val="0"/>
      </w:pPr>
      <w:r>
        <w:t>10.4 Data Stewardship Operating Model</w:t>
      </w:r>
    </w:p>
    <w:p>
      <w:pPr>
        <w:spacing w:after="120"/>
      </w:pPr>
      <w:r>
        <w:t>The Data Stewardship Operating Model shall define steward role profiles, operating procedures for stewardship activities and collaboration mechanisms with Technology Custodians and Business Owners. It supports this policy by specifying how stewardship responsibilities are organized and executed to meet governance obligations.</w:t>
      </w:r>
    </w:p>
    <w:p>
      <w:pPr>
        <w:pStyle w:val="Heading1"/>
        <w:pageBreakBefore w:val="0"/>
      </w:pPr>
      <w:r>
        <w:t>11 Policy Declaration &amp; Approval</w:t>
      </w:r>
    </w:p>
    <w:p>
      <w:pPr>
        <w:pStyle w:val="Heading2"/>
        <w:spacing w:after="120"/>
      </w:pPr>
      <w:r>
        <w:t>11.1 Policy Declaration</w:t>
      </w:r>
    </w:p>
    <w:p>
      <w:pPr>
        <w:spacing w:after="120"/>
      </w:pPr>
      <w:r>
        <w:t>This Master Data Management Policy establishes enterprise governance requirements for the Master Data Management capability within the Retail and Corporate Banking domains operating in the United Kingdom and European Union. It is governed by the Enterprise Master Policy and sets mandatory governance expectations for master data domains including Customer, Account, Product and Legal Entity data. The governance responsibilities, requirements and obligations described herein are subject to enterprise approval and shall be enforced by the Data Governance Council, Chief Data Officer and Business Owners in accordance with the Enterprise Master Policy.</w:t>
      </w:r>
    </w:p>
    <w:p>
      <w:pPr>
        <w:pStyle w:val="Heading2"/>
        <w:spacing w:after="120"/>
      </w:pPr>
      <w:r>
        <w:t>11.2 Approval Signatures</w:t>
      </w:r>
    </w:p>
    <w:tbl>
      <w:tblPr>
        <w:tblStyle w:val="TableGrid"/>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412"/>
        <w:gridCol w:w="2412"/>
        <w:gridCol w:w="2412"/>
        <w:gridCol w:w="2412"/>
      </w:tblGrid>
      <w:tr>
        <w:trPr>
          <w:cantSplit/>
          <w:tblHeader w:val="true"/>
        </w:trPr>
        <w:tc>
          <w:tcPr>
            <w:tcW w:type="dxa" w:w="2412"/>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Approval Role</w:t>
            </w:r>
          </w:p>
        </w:tc>
        <w:tc>
          <w:tcPr>
            <w:tcW w:type="dxa" w:w="2412"/>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Name</w:t>
            </w:r>
          </w:p>
        </w:tc>
        <w:tc>
          <w:tcPr>
            <w:tcW w:type="dxa" w:w="2412"/>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Signature</w:t>
            </w:r>
          </w:p>
        </w:tc>
        <w:tc>
          <w:tcPr>
            <w:tcW w:type="dxa" w:w="2412"/>
            <w:vAlign w:val="center"/>
            <w:tcMar>
              <w:top w:w="80" w:type="dxa"/>
              <w:start w:w="100" w:type="dxa"/>
              <w:bottom w:w="80" w:type="dxa"/>
              <w:end w:w="100" w:type="dxa"/>
            </w:tcMar>
            <w:shd w:fill="EAF2F8"/>
          </w:tcPr>
          <w:p>
            <w:pPr>
              <w:spacing w:before="0" w:after="0" w:line="240" w:lineRule="auto"/>
            </w:pPr>
            <w:r>
              <w:rPr>
                <w:rFonts w:ascii="Aptos" w:hAnsi="Aptos"/>
                <w:b/>
                <w:color w:val="1F4E79"/>
                <w:sz w:val="20"/>
              </w:rPr>
              <w:t>Date</w:t>
            </w:r>
          </w:p>
        </w:tc>
      </w:tr>
      <w:tr>
        <w:trPr>
          <w:cantSplit/>
        </w:trPr>
        <w:tc>
          <w:tcPr>
            <w:tcW w:type="dxa" w:w="2412"/>
            <w:vAlign w:val="center"/>
            <w:tcMar>
              <w:top w:w="80" w:type="dxa"/>
              <w:start w:w="100" w:type="dxa"/>
              <w:bottom w:w="80" w:type="dxa"/>
              <w:end w:w="100" w:type="dxa"/>
            </w:tcMar>
          </w:tcPr>
          <w:p>
            <w:pPr>
              <w:spacing w:before="0" w:after="0" w:line="240" w:lineRule="auto"/>
            </w:pPr>
            <w:r>
              <w:rPr>
                <w:rFonts w:ascii="Aptos" w:hAnsi="Aptos"/>
                <w:sz w:val="20"/>
              </w:rPr>
              <w:t>Policy Owner</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w:t>
            </w:r>
          </w:p>
        </w:tc>
      </w:tr>
      <w:tr>
        <w:trPr>
          <w:cantSplit/>
        </w:trPr>
        <w:tc>
          <w:tcPr>
            <w:tcW w:type="dxa" w:w="2412"/>
            <w:vAlign w:val="center"/>
            <w:tcMar>
              <w:top w:w="80" w:type="dxa"/>
              <w:start w:w="100" w:type="dxa"/>
              <w:bottom w:w="80" w:type="dxa"/>
              <w:end w:w="100" w:type="dxa"/>
            </w:tcMar>
          </w:tcPr>
          <w:p>
            <w:pPr>
              <w:spacing w:before="0" w:after="0" w:line="240" w:lineRule="auto"/>
            </w:pPr>
            <w:r>
              <w:rPr>
                <w:rFonts w:ascii="Aptos" w:hAnsi="Aptos"/>
                <w:sz w:val="20"/>
              </w:rPr>
              <w:t>Approval Authority</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w:t>
            </w:r>
          </w:p>
        </w:tc>
      </w:tr>
      <w:tr>
        <w:trPr>
          <w:cantSplit/>
        </w:trPr>
        <w:tc>
          <w:tcPr>
            <w:tcW w:type="dxa" w:w="2412"/>
            <w:vAlign w:val="center"/>
            <w:tcMar>
              <w:top w:w="80" w:type="dxa"/>
              <w:start w:w="100" w:type="dxa"/>
              <w:bottom w:w="80" w:type="dxa"/>
              <w:end w:w="100" w:type="dxa"/>
            </w:tcMar>
          </w:tcPr>
          <w:p>
            <w:pPr>
              <w:spacing w:before="0" w:after="0" w:line="240" w:lineRule="auto"/>
            </w:pPr>
            <w:r>
              <w:rPr>
                <w:rFonts w:ascii="Aptos" w:hAnsi="Aptos"/>
                <w:sz w:val="20"/>
              </w:rPr>
              <w:t>Data Governance Council Representative</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__________________</w:t>
            </w:r>
          </w:p>
        </w:tc>
        <w:tc>
          <w:tcPr>
            <w:tcW w:type="dxa" w:w="2412"/>
            <w:vAlign w:val="center"/>
            <w:tcMar>
              <w:top w:w="80" w:type="dxa"/>
              <w:start w:w="100" w:type="dxa"/>
              <w:bottom w:w="80" w:type="dxa"/>
              <w:end w:w="100" w:type="dxa"/>
            </w:tcMar>
          </w:tcPr>
          <w:p>
            <w:pPr>
              <w:spacing w:before="0" w:after="0" w:line="240" w:lineRule="auto"/>
            </w:pPr>
            <w:r>
              <w:rPr>
                <w:rFonts w:ascii="Aptos" w:hAnsi="Aptos"/>
                <w:sz w:val="20"/>
              </w:rPr>
              <w:t>__________</w:t>
            </w:r>
          </w:p>
        </w:tc>
      </w:tr>
    </w:tbl>
    <w:sectPr w:rsidR="00FC693F" w:rsidRPr="0006063C" w:rsidSect="00034616">
      <w:footerReference w:type="default" r:id="rId9"/>
      <w:pgSz w:w="12240" w:h="15840"/>
      <w:pgMar w:top="1008"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