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CCRC College (nothing for now)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Budhanilkantha School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Hostel bullying environment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United Academy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physical punishments for unverified offences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Disciplinary actions taken for school rule infringements outside school premises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KMC Bagbazar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assaults for minor disciplinary violations (Using washrooms during class time)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humiliation; Verbal assaults [called a student a whore publicly]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Sexual assault and sexual coersion by school authorities (especially female students)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Verbally abused students over family issues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Female CI stalking students’ private lives; Accusing students of wearing makeups (completely legal) and punishing them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Teachers (PNC and SPJ) sexually assaulting female students and even sending inappropriate pictures in their DMs (straight up paedophilia)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Discourage curiosity and forcefully make students memorize books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St. Marys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Extremely conservative dressing standards (This have led to physical abuses)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Privacy and Child Rights Violition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Religious brainwashing of students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Completely prohibited male-female interaction (even outside school premises)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GEMS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Bullying by teachers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Kavya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 staff physically beating students and making verbal threats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DAV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Verbally abusing parents for children for their relatively weak academic performance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academic pressures which might’ve led to suicides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VS Niketan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Allegedly letting a rapist teacher continue teaching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Ace Higher Secondary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 Advertising and fabricating online reviews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Forcing students to give the school 5 star reviews online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