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C8102E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Santander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Concept Prototype — Technical Report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A front-end exploration of paperless, compliant-by-design service journeys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Concept prototype — for internal discussion and customer research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Distribution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product, design, and risk &amp; compliance stakeholders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Executive summary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Context and problem statement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Objectives, scope and non-goals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System architecture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Workflow catalogue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Regulatory control mapping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Engineering and quality approach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Accessibility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9  Limitations and assumptions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10  Indicative next steps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Executive summary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 banking retains a striking dependence on paper. Mandate variations, account closures, beneficiary onboarding and dispute handling still routinely require posted forms, wet-ink signatures and branch attendance — processes that impose days of latency, measurable operational cost, and inconsistent application of controls at exactly the points where regulatory rigour matters most.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report describes a self-initiated concept prototype that reframes seventeen such service events as guided, digitally-signed, self-serve journeys. The distinguishing idea is that the controls each journey must satisfy — Strong Customer Authentication [3], Confirmation of Payee [4], sanctions and politically-exposed-person screening [8], cooling-off, and record-keeping [12] — are expressed inside the flow rather than appended through manual back-office process. Control thereby becomes an enabler of a better experience instead of the reason to retain paper.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deliberately a front-end artefact. It holds no customer data, connects to no live system, and is not a release candidate. Its purpose is to make a service proposition tangible enough to test — with colleagues, with risk and compliance, and with business customers — before any commitment to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Workflows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Seventeen end-to-end paperless journeys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coverage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 business types (sole trader, partnership, limited company, LLP, charity, club, society)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Platform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Single-file React front end, compiled to one self-contained HTML bundle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framing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PSD2/SCA, CoP, PSR 2017, MLR 2017, FCA DISP/BCOBS/SYSC, Consumer Duty, UK GDPR, MTD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Scope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Front-end concept only — no backend, no real data, not production-hardened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2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Context and problem statement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friction in business-banking servicing is not primarily a technology gap; it is a process gap. The underlying capabilities — digital identity, strong authentication, Confirmation of Payee and real-time payments — are mature and, in several cases, mandated. Yet the service events that sit on top of them are frequently still discharged on paper, for three connected reasons: the controls are treated as separate from the customer journey; the journeys are owned by different teams; and no single artefact makes the end-to-end experience concrete enough to challenge.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cost of that gap is cumulative. Postal round-trips convert minutes of decision-making into days of elapsed time. Manual re-keying introduces error and rework. And discretionary, manually-applied controls are, by construction, harder to evidence consistently — a growing concern under the FCA Consumer Duty [1], which expects firms to demonstrate good outcomes rather than assert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THE CORE QUESTION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What would these service events look like if they were re-imagined as in-app, self-serve, compliant-by-design journeys — with each regulatory check built into the flow, applied consistently, and recorded automatically?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3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Objectives, scope and non-goals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was built to answer that question in a form that can be reviewed and tested, not merely described. Its objectives are therefore evidential rather than technical: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Demonstrate credible paperless equivalents for the most paper-heavy business-banking service events.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Express, within each journey, the specific regulatory control it must satisfy — so reviewers can see where an obligation is met rather than infer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Provide a single, clickable artefact for internal review and structured customer research.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Establish a consistent design language and a measurable accessibility standard for the journeys.</w:t>
      </w: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Non-goals (explicitly out of scope)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Equally important is what the prototype is not, so that its evidence is read correctly: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backend, database, or integration with live banking systems.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real customer, account, or payment data — every figure and reference is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production security hardening; this is a concept artefact, not a release candidate.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processing of real payments, identity documents, or regulatory submissions.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4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System architecture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implemented as a single React component compiled by Vite into one self-contained HTML bundle. This is an unusual choice for production software but a deliberate one for a concept artefact: it keeps the entire product readable top-to-bottom, removes build-and-deploy friction, and lets the whole experience be shared as a single file. The trade-off — that all state lives in one component — is acceptable precisely because the artefact is not intended to scale as a codebase.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8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Architectural choice</w:t>
            </w:r>
          </w:p>
        </w:tc>
        <w:tc>
          <w:tcPr>
            <w:tcW w:type="dxa" w:w="5669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Single-file React front end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Whole product legible in one place; no module navigation to review it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Compiled to one HTML artefact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Frictionless to deploy, host, or hand to a colleague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Two shells, shared state (mobile &amp; desktop)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Demonstrates responsive parity without a second codebase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Workflow-overlay model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Each journey is a self-contained, multi-step wizard over the main app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system (7 business types)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Accounts, mandate rules, labels and required documents reconfigure per type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Mandate and authorisation model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Authorisation is modelled explicitly. Each account carries a signing rule — any-one, any-two, or all signatories — and every workflow resolves the strictest applicable rule across the accounts it touches. That resolved rule determines whether an instruction can proceed immediately, requires a co-signatory, or enters a cooling-off period. Encoding authorisation as data rather than as bespoke per-journey logic is what allows the same seventeen journeys to behave correctly across all seven entity types.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5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Workflow catalogue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implements seventeen end-to-end workflows. Each replaces an identifiable paper or branch-based process and surfaces the control that governs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Workflow</w:t>
            </w:r>
          </w:p>
        </w:tc>
        <w:tc>
          <w:tcPr>
            <w:tcW w:type="dxa" w:w="4422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replaces / does</w:t>
            </w:r>
          </w:p>
        </w:tc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Primary control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Account closure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Posted closure request; in-credit and cooling-off checks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BCOBS [11]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Business details update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Change of name/address/contact with proof of address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KYB [8]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Mandate changes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variation; add/remove signatories, signing rule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SM&amp;CR [12]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Bulk payments / wages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BACS paper schedule; payee book with per-payee CoP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CoP [4]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Pre-approved lending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Facility request by phone/post; offer and draw-down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CCA 1974 [13]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International FX payment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instruction; rate and fee disclosure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FTR [9]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Dormant reactivation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reactivation of a dormant account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Dormancy handling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Personal / business unlink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separation of personal data from a relationship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Credit ring-fence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Excludes personal data from business credit decisioning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Art. 5(1)(c)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Signatory ID register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KYC/KYB across identity and address evidence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MTD VAT submission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VAT return; categorise, review, submit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HMRC MTD [14]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Complaint handling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complaint; intake, triage, decision, FOS route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FCA DISP [10]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Standing orders &amp; DDs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/ cancellation letter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Direct Debit Guarantee [5]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Transaction dispute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dispute form; chargeback / fraud / DD routes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PSR 2017 regs 76–77 [6]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Intl. beneficiary onboarding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IBAN and wet-ink verification; screening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[8], sanctions/PEP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Balance certificate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Written request with postal wait; sealed certificate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Evidence document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Trusted devices &amp; sessions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visit to reset access; device/session control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SCA [3], SYSC [12]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6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Regulatory control mapping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workflows are designed around the controls a production implementation would require. The prototype surfaces each control in the user experience so that a reviewer can locate where an obligation is discharged. The mapping below is indicative of intent, not a statement of certified compliance.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Framework</w:t>
            </w:r>
          </w:p>
        </w:tc>
        <w:tc>
          <w:tcPr>
            <w:tcW w:type="dxa" w:w="5443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Obligation reflected</w:t>
            </w:r>
          </w:p>
        </w:tc>
        <w:tc>
          <w:tcPr>
            <w:tcW w:type="dxa" w:w="1134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Consumer Duty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Demonstrable good outcomes; fair treatment designed into journeys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PSD2 / SCA-RTS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Customer Authentication and risk-based step-up before sensitive actions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[2][3]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Confirmation of Payee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Account-name verification before a first payment to a new payee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Direct Debit Guarantee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Immediate, guaranteed refund route for Direct Debit disputes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[5]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PSR 2017 (regs 76–77)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Refund of unauthorised transactions; correction of errors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[6]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APP reimbursement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Cancel window and reimbursement framing on outbound payments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[7]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MLR 2017 / FTR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Sanctions, PEP and adverse-media screening; payer/payee information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[8][9]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DISP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Complaint intake, decision, and escalation to the Financial Ombudsman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[10]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SYSC 9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Material actions recorded to an audit trail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[12]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HMRC MTD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Digital preparation and submission of VAT returns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UK GDPR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Data separation, ring-fencing and purpose limitation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[15]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7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Engineering and quality approach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Although a concept artefact, the prototype is produced through a disciplined, repeatable pipeline. The pipeline exists because the failure modes of a large single-file front end are predictable, and because a credible artefact must actually work when demonstrated — not merely compile. Four stages are kept distinct: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Scaffold — new workflows are generated from a template that encodes the file conventions and forecloses the recurring defects (state reset, dual-shell wiring, input handling).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Review — a parallel, multi-lens review examines each change for architecture, security, engineering, design-system and state-integrity concerns before it is accepted.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Gate — an automated pre-commit check blocks accessibility, colour-token, markup and build regressions from ever leaving the working tree.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Runtime verification — the built application is driven headlessly through real journeys, and audited against WCAG 2.1 AA [16] on each run, so that behaviour is proven rather than assumed.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WHY THIS MATTERS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Static review confirms that code exists and is well-formed; only driving the running application confirms that a control actually fires. The pipeline is designed so that the artefact demonstrated to stakeholders is the artefact that has been verified.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Design system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single visual language governs spacing, colour, typography and interaction: a fixed spacing scale, the Santander brand red reserved for the primary action on any screen, a warm neutral palette, tabular figures for every monetary value, and exactly one primary call-to-action per view. Consistency here is not decoration; it is what makes seventeen distinct journeys feel like one coherent product.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8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Accessibility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Accessibility is treated as a build gate rather than a closing audit. Interactive controls carry visible focus states and accessible names; status is never signalled by colour alone; and the interface is measured against WCAG 2.1 AA [16] using an automated engine on every verification run. Where the automated audit identified shortfalls — colour-contrast on small text and unnamed icon-only controls — they were corrected and re-measured to zero on the core screens. Full conformance, including assistive-technology testing, is identified as a pre-production activity.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9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9   Limitations and assumptions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should be read with its boundaries in mind, so that its evidence is neither over- nor under-weighted: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is front-end only: no data is stored, transmitted or processed, and no control is enforced server-side.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All names, figures, accounts and references are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behaviours are represented to communicate intent, not certified for production use.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has not been security-tested, load-tested, or assured to production standards.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10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10   Indicative next steps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Should the proposition be endorsed, a proportionate path from concept to pilot would be: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Prioritise the highest-value journeys — by volume, cost-to-serve and customer friction — for a backend-integrated pilot.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Validate the shortlisted journeys with business customers through structured research,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Complete a full WCAG 2.1 AA conformance review [16], including assistive-technology testing.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integration, security, resilience and data-protection requirements for a production build, and the target operating model to support it.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2018,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Business Banking Concept Prototype — Technical Report</w:t>
    </w:r>
    <w:r>
      <w:rPr>
        <w:b/>
        <w:color w:val="C8102E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