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80"/>
      </w:pPr>
      <w:r>
        <w:drawing>
          <wp:inline xmlns:a="http://schemas.openxmlformats.org/drawingml/2006/main" xmlns:pic="http://schemas.openxmlformats.org/drawingml/2006/picture">
            <wp:extent cx="1737360" cy="300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ntander-logo-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30056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spacing w:before="0" w:after="200"/>
      </w:pPr>
      <w:r>
        <w:rPr>
          <w:rFonts w:ascii="Santander Text" w:hAnsi="Santander Text"/>
          <w:b/>
          <w:i w:val="0"/>
          <w:color w:val="EC0000"/>
          <w:sz w:val="18"/>
        </w:rPr>
        <w:t>INTERNAL · CONFIDENTIAL</w:t>
      </w:r>
    </w:p>
    <w:p>
      <w:pPr>
        <w:spacing w:before="0" w:after="0"/>
      </w:pPr>
      <w:r>
        <w:rPr>
          <w:rFonts w:ascii="Santander Text" w:hAnsi="Santander Text"/>
          <w:b/>
          <w:i w:val="0"/>
          <w:color w:val="1C1917"/>
          <w:sz w:val="60"/>
        </w:rPr>
        <w:t>Paperless Business Banking</w:t>
      </w:r>
    </w:p>
    <w:p>
      <w:pPr>
        <w:spacing w:before="0" w:after="60"/>
      </w:pPr>
      <w:r>
        <w:rPr>
          <w:rFonts w:ascii="Santander Text" w:hAnsi="Santander Text"/>
          <w:b w:val="0"/>
          <w:i w:val="0"/>
          <w:color w:val="57534E"/>
          <w:sz w:val="34"/>
        </w:rPr>
        <w:t>Position Paper</w:t>
      </w:r>
    </w:p>
    <w:p>
      <w:pPr>
        <w:spacing w:before="0" w:after="360"/>
      </w:pPr>
      <w:r>
        <w:rPr>
          <w:rFonts w:ascii="Santander Text" w:hAnsi="Santander Text"/>
          <w:b w:val="0"/>
          <w:i/>
          <w:color w:val="78716C"/>
          <w:sz w:val="22"/>
        </w:rPr>
        <w:t>The case for compliant, self-serve service journeys — and a prototype that makes it concrete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BF1EA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BF1EA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BF1EA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BF1EA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BF1EA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BF1EA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Position paper — for internal discussion</w:t>
            </w:r>
          </w:p>
        </w:tc>
      </w:tr>
      <w:tr>
        <w:tc>
          <w:tcPr>
            <w:tcW w:type="dxa" w:w="4824"/>
            <w:shd w:val="clear" w:fill="FBF1EA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/>
                <w:i w:val="0"/>
                <w:color w:val="57534E"/>
                <w:sz w:val="17"/>
              </w:rPr>
              <w:t>Audience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7"/>
              </w:rPr>
              <w:t>Business Banking leadership, product, and risk &amp; compliance</w:t>
            </w:r>
          </w:p>
        </w:tc>
      </w:tr>
    </w:tbl>
    <w:p>
      <w:pPr>
        <w:spacing w:before="440" w:after="80"/>
      </w:pPr>
      <w:r>
        <w:rPr>
          <w:rFonts w:ascii="Santander Text" w:hAnsi="Santander Text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1  Position in brief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2  The problem: paper in the critical path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3  The opportunity: compliant self-serve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4  Why now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5  Evidence: the prototype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6  Benefits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7  Risks and mitigations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8  Recommendation</w:t>
      </w:r>
    </w:p>
    <w:p>
      <w:pPr>
        <w:spacing w:after="40"/>
      </w:pPr>
      <w:r>
        <w:rPr>
          <w:rFonts w:ascii="Santander Text" w:hAnsi="Santander Text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POSITION IN BRIEF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1   Position in brief</w:t>
      </w:r>
    </w:p>
    <w:p>
      <w:pPr>
        <w:spacing w:before="0" w:after="140" w:line="312" w:lineRule="auto"/>
      </w:pPr>
      <w:r>
        <w:rPr>
          <w:rFonts w:ascii="Santander Text" w:hAnsi="Santander Text"/>
          <w:b w:val="0"/>
          <w:i w:val="0"/>
          <w:color w:val="1C1917"/>
          <w:sz w:val="24"/>
        </w:rPr>
        <w:t>Business-banking service events that still depend on paper and branch attendance should be re-imagined as guided, digitally-signed, self-serve journeys — with the regulatory controls built into the flow. The case is not merely one of convenience: done well, this model reduces cost and elapsed time, improves the customer experience, and strengthens compliance by making every control explicit, consistent and automatically recorded.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This paper sets out the argument in four moves — the problem, the opportunity, the timing, and the evidence — and closes with a specific recommendation. A working front-end prototype accompanies it and makes the proposition concrete enough to test.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THE PROBLEM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2   The problem: paper in the critical path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Across mandates, payments, closures, disputes and onboarding, too many journeys still sit on posted forms, wet-ink signatures, faxed details and branch visits. The consequence is not a single large failure but a steady accumulation of small ones: latency, cost, error and an experience that visibly lags the rest of digital banking.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Latency — postal round-trips convert minutes of decision-making into days of elapsed time.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Cost — paper handling, re-keying and exception management carry real and recurring operational expense.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Risk — manually-applied controls are harder to apply consistently and harder still to evidence [1].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Experience — business customers now expect to self-serve, at any hour, from any device.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THE OPPORTUNITY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3   The opportunity: compliant self-serve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controls these journeys require — identity, authorisation to the correct mandate, Confirmation of Payee [4], sanctions and PEP screening [8], cooling-off, and audit [12] — are precisely the tasks software performs consistently and at scale. Expressed inside the workflow, a control stops being a reason to keep paper and becomes the mechanism that makes a faster, self-serve journey safe.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BF1EA"/>
            <w:tcBorders>
              <w:left w:val="single" w:sz="24" w:space="0" w:color="EC0000"/>
            </w:tcBorders>
          </w:tcPr>
          <w:p>
            <w:pPr>
              <w:spacing w:after="40"/>
            </w:pPr>
            <w:r>
              <w:rPr>
                <w:rFonts w:ascii="Santander Text" w:hAnsi="Santander Text"/>
                <w:b/>
                <w:i w:val="0"/>
                <w:color w:val="EC0000"/>
                <w:sz w:val="17"/>
              </w:rPr>
              <w:t xml:space="preserve">THE REFRAMING  </w:t>
            </w:r>
          </w:p>
          <w:p>
            <w:pPr>
              <w:spacing w:after="40"/>
            </w:pPr>
            <w:r>
              <w:rPr>
                <w:rFonts w:ascii="Santander Text" w:hAnsi="Santander Text"/>
                <w:b w:val="0"/>
                <w:i w:val="0"/>
                <w:color w:val="1C1917"/>
                <w:sz w:val="21"/>
              </w:rPr>
              <w:t>Compliance and customer experience are usually treated as a trade-off. Building the controls into the flow collapses that trade-off: the same design that removes the paper is the one that applies the control more consistently than paper ever did.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WHY NOW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4   Why now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Three developments make this the right moment rather than merely a good idea: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Regulatory direction rewards it. The Consumer Duty [1] expects demonstrable good outcomes, and the APP reimbursement regime [7] raises the cost of inconsistent payment controls — both favour controls that are built in and evidenced.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Expectations have shifted. Business customers increasingly expect parity with the best consumer digital experiences, and judge the bank against them.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The building blocks are mature. Confirmation of Payee [4], Strong Customer Authentication [3] and digital identity are established, reusable capabilities rather than research projects.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EVIDENCE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5   Evidence: the prototype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A self-initiated front-end prototype implements seventeen paperless journeys across seven business entity types, each replacing a specific paper or branch process and surfacing the control that governs it — from mandate changes and bulk payments to disputes, cross-border beneficiary onboarding, balance certificates and device management. It is a clickable articulation of this position, deliberately front-end only and carrying no real data. Its role is to move the conversation from slideware to something colleagues, risk stakeholders and customers can actually use.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BENEFITS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6   Benefits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value accrues to three parties at once, which is what makes the proposition durable rather than a cost-shifting exercise: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Stakeholder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Benefit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Customer</w:t>
            </w:r>
          </w:p>
        </w:tc>
        <w:tc>
          <w:tcPr>
            <w:tcW w:type="dxa" w:w="6690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Faster outcomes, self-serve at any time, clear status, and fewer branch visits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Bank</w:t>
            </w:r>
          </w:p>
        </w:tc>
        <w:tc>
          <w:tcPr>
            <w:tcW w:type="dxa" w:w="6690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Lower cost-to-serve, fewer exceptions, consistent control application, and a stronger audit position</w:t>
            </w:r>
          </w:p>
        </w:tc>
      </w:tr>
      <w:tr>
        <w:tc>
          <w:tcPr>
            <w:tcW w:type="dxa" w:w="2268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Risk &amp; compliance</w:t>
            </w:r>
          </w:p>
        </w:tc>
        <w:tc>
          <w:tcPr>
            <w:tcW w:type="dxa" w:w="6690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Controls made explicit and logged [12]; fair treatment and cooling-off designed in [1]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RISKS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7   Risks and mitigations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The proposition carries real risks; each has a credible mitigation, and none is a reason for inaction: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81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Risk</w:t>
            </w:r>
          </w:p>
        </w:tc>
        <w:tc>
          <w:tcPr>
            <w:tcW w:type="dxa" w:w="6576"/>
            <w:shd w:val="clear" w:fill="1C1917"/>
          </w:tcPr>
          <w:p>
            <w:r>
              <w:rPr>
                <w:rFonts w:ascii="Santander Text" w:hAnsi="Santander Text"/>
                <w:b/>
                <w:i w:val="0"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Digital exclusion</w:t>
            </w:r>
          </w:p>
        </w:tc>
        <w:tc>
          <w:tcPr>
            <w:tcW w:type="dxa" w:w="6576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Retain assisted and non-digital routes; design to WCAG 2.1 AA [16] from the outset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Fraud and social engineering</w:t>
            </w:r>
          </w:p>
        </w:tc>
        <w:tc>
          <w:tcPr>
            <w:tcW w:type="dxa" w:w="6576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Strong authentication [3], Confirmation of Payee [4], screening [8], and cooling-off windows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Regulatory change</w:t>
            </w:r>
          </w:p>
        </w:tc>
        <w:tc>
          <w:tcPr>
            <w:tcW w:type="dxa" w:w="6576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Model controls as configurable policy rather than hard-coded logic, so rules can move</w:t>
            </w:r>
          </w:p>
        </w:tc>
      </w:tr>
      <w:tr>
        <w:tc>
          <w:tcPr>
            <w:tcW w:type="dxa" w:w="2381"/>
          </w:tcPr>
          <w:p>
            <w:r>
              <w:rPr>
                <w:rFonts w:ascii="Santander Text" w:hAnsi="Santander Text"/>
                <w:b/>
                <w:i w:val="0"/>
                <w:color w:val="1C1917"/>
                <w:sz w:val="18"/>
              </w:rPr>
              <w:t>Adoption</w:t>
            </w:r>
          </w:p>
        </w:tc>
        <w:tc>
          <w:tcPr>
            <w:tcW w:type="dxa" w:w="6576"/>
          </w:tcPr>
          <w:p>
            <w:r>
              <w:rPr>
                <w:rFonts w:ascii="Santander Text" w:hAnsi="Santander Text"/>
                <w:b w:val="0"/>
                <w:i w:val="0"/>
                <w:color w:val="1C1917"/>
                <w:sz w:val="18"/>
              </w:rPr>
              <w:t>Validate journeys with customer research before scaling; sequence by value, not by ease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RECOMMENDATION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8   Recommendation</w:t>
      </w:r>
    </w:p>
    <w:p>
      <w:pPr>
        <w:spacing w:before="0" w:after="120"/>
      </w:pPr>
      <w:r>
        <w:rPr>
          <w:rFonts w:ascii="Santander Text" w:hAnsi="Santander Text"/>
          <w:b w:val="0"/>
          <w:i w:val="0"/>
          <w:color w:val="1C1917"/>
          <w:sz w:val="21"/>
        </w:rPr>
        <w:t>On the strength of the argument and the accompanying prototype, the recommendation is to: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Endorse the paperless, compliant-by-design model as the target for business-banking service journeys.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Select a small set of highest-value journeys for a backend-integrated pilot with defined success measures.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Fund structured customer research using the prototype as the discussion artefact.</w:t>
      </w:r>
    </w:p>
    <w:p>
      <w:pPr>
        <w:pStyle w:val="ListBullet"/>
        <w:spacing w:after="60"/>
      </w:pPr>
      <w:r>
        <w:rPr>
          <w:rFonts w:ascii="Santander Text" w:hAnsi="Santander Text"/>
          <w:b w:val="0"/>
          <w:i w:val="0"/>
          <w:color w:val="1C1917"/>
          <w:sz w:val="21"/>
        </w:rPr>
        <w:t>Define the production integration, security and data-protection requirements in parallel, so a positive pilot can proceed without a standing start.</w:t>
      </w:r>
    </w:p>
    <w:p>
      <w:pPr>
        <w:spacing w:before="280" w:after="20"/>
      </w:pPr>
      <w:r>
        <w:rPr>
          <w:rFonts w:ascii="Santander Text" w:hAnsi="Santander Text"/>
          <w:b/>
          <w:i w:val="0"/>
          <w:color w:val="EC0000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Santander Text" w:hAnsi="Santander Text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[1]  </w:t>
      </w:r>
      <w:r>
        <w:rPr>
          <w:rFonts w:ascii="Santander Text" w:hAnsi="Santander Text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[2]  </w:t>
      </w:r>
      <w:r>
        <w:rPr>
          <w:rFonts w:ascii="Santander Text" w:hAnsi="Santander Text"/>
          <w:b w:val="0"/>
          <w:i w:val="0"/>
          <w:color w:val="1C1917"/>
          <w:sz w:val="18"/>
        </w:rPr>
        <w:t>The Payment Services Regulations 2017 (SI 2017/752), transposing Directive (EU) 2015/2366 (PSD2); main provisions in force from 13 January 2018 and the secure-communication / SCA provisions from 14 September 2019. Now within the repeal-and-replace programme under the Financial Services and Markets Act 2023.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[3]  </w:t>
      </w:r>
      <w:r>
        <w:rPr>
          <w:rFonts w:ascii="Santander Text" w:hAnsi="Santander Text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[4]  </w:t>
      </w:r>
      <w:r>
        <w:rPr>
          <w:rFonts w:ascii="Santander Text" w:hAnsi="Santander Text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[5]  </w:t>
      </w:r>
      <w:r>
        <w:rPr>
          <w:rFonts w:ascii="Santander Text" w:hAnsi="Santander Text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[6]  </w:t>
      </w:r>
      <w:r>
        <w:rPr>
          <w:rFonts w:ascii="Santander Text" w:hAnsi="Santander Text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[7]  </w:t>
      </w:r>
      <w:r>
        <w:rPr>
          <w:rFonts w:ascii="Santander Text" w:hAnsi="Santander Text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[8]  </w:t>
      </w:r>
      <w:r>
        <w:rPr>
          <w:rFonts w:ascii="Santander Text" w:hAnsi="Santander Text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[9]  </w:t>
      </w:r>
      <w:r>
        <w:rPr>
          <w:rFonts w:ascii="Santander Text" w:hAnsi="Santander Text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[10]  </w:t>
      </w:r>
      <w:r>
        <w:rPr>
          <w:rFonts w:ascii="Santander Text" w:hAnsi="Santander Text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[11]  </w:t>
      </w:r>
      <w:r>
        <w:rPr>
          <w:rFonts w:ascii="Santander Text" w:hAnsi="Santander Text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[12]  </w:t>
      </w:r>
      <w:r>
        <w:rPr>
          <w:rFonts w:ascii="Santander Text" w:hAnsi="Santander Text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[13]  </w:t>
      </w:r>
      <w:r>
        <w:rPr>
          <w:rFonts w:ascii="Santander Text" w:hAnsi="Santander Text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[14]  </w:t>
      </w:r>
      <w:r>
        <w:rPr>
          <w:rFonts w:ascii="Santander Text" w:hAnsi="Santander Text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[15]  </w:t>
      </w:r>
      <w:r>
        <w:rPr>
          <w:rFonts w:ascii="Santander Text" w:hAnsi="Santander Text"/>
          <w:b w:val="0"/>
          <w:i w:val="0"/>
          <w:color w:val="1C1917"/>
          <w:sz w:val="18"/>
        </w:rPr>
        <w:t>UK GDPR and the Data Protection Act 2018, as amended by the Data (Use and Access) Act 2025 (Royal Assent 19 June 2025). Per the ICO/DSIT, the data-protection and PECR provisions are now in force — the principal Part 5 reforms from 5 February 2026 and the data-subject complaints-handling duty (s.103) from 19 June 2026 — and the regulator is being reconstituted as the Information Commission. Article 5(1)(c) — data minimisation and purpose limitation.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[16]  </w:t>
      </w:r>
      <w:r>
        <w:rPr>
          <w:rFonts w:ascii="Santander Text" w:hAnsi="Santander Text"/>
          <w:b w:val="0"/>
          <w:i w:val="0"/>
          <w:color w:val="1C1917"/>
          <w:sz w:val="18"/>
        </w:rPr>
        <w:t>W3C — Web Content Accessibility Guidelines (WCAG) 2.1, Level AA.</w:t>
      </w:r>
    </w:p>
    <w:p>
      <w:pPr>
        <w:spacing w:after="60"/>
        <w:ind w:left="504" w:hanging="504"/>
      </w:pPr>
      <w:r>
        <w:rPr>
          <w:rFonts w:ascii="Santander Text" w:hAnsi="Santander Text"/>
          <w:b/>
          <w:i w:val="0"/>
          <w:color w:val="57534E"/>
          <w:sz w:val="18"/>
        </w:rPr>
        <w:t xml:space="preserve">[17]  </w:t>
      </w:r>
      <w:r>
        <w:rPr>
          <w:rFonts w:ascii="Santander Text" w:hAnsi="Santander Text"/>
          <w:b w:val="0"/>
          <w:i w:val="0"/>
          <w:color w:val="1C1917"/>
          <w:sz w:val="18"/>
        </w:rPr>
        <w:t>ICO, Employment practices and data protection: recruitment and selection (draft guidance; consultation closed, final version pending) — including the chapter on pre-employment vetting of candidates: vetting must be necessary, proportionate and data-minimising, with transparency to the individual and a DPIA where criminal-offence data is involved (relevant to the signatory ID register / KYC verification).</w:t>
      </w:r>
    </w:p>
    <w:p/>
    <w:p>
      <w:r>
        <w:rPr>
          <w:rFonts w:ascii="Santander Text" w:hAnsi="Santander Text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Paperless Business Banking — Position Paper</w:t>
    </w:r>
    <w:r>
      <w:rPr>
        <w:b/>
        <w:color w:val="EC0000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Santander Text" w:hAnsi="Santander Text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