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200"/>
      </w:pPr>
      <w:r>
        <w:rPr>
          <w:rFonts w:ascii="Calibri" w:hAnsi="Calibri"/>
          <w:b/>
          <w:i w:val="0"/>
          <w:color w:val="C8102E"/>
          <w:sz w:val="18"/>
        </w:rPr>
        <w:t>INTERNAL · CONFIDENTIAL</w:t>
      </w:r>
    </w:p>
    <w:p>
      <w:pPr>
        <w:spacing w:before="0" w:after="0"/>
      </w:pPr>
      <w:r>
        <w:rPr>
          <w:rFonts w:ascii="Calibri" w:hAnsi="Calibri"/>
          <w:b/>
          <w:i w:val="0"/>
          <w:color w:val="1C1917"/>
          <w:sz w:val="60"/>
        </w:rPr>
        <w:t>Paperless Business Banking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57534E"/>
          <w:sz w:val="34"/>
        </w:rPr>
        <w:t>Position Paper</w:t>
      </w:r>
    </w:p>
    <w:p>
      <w:pPr>
        <w:spacing w:before="0" w:after="360"/>
      </w:pPr>
      <w:r>
        <w:rPr>
          <w:rFonts w:ascii="Calibri" w:hAnsi="Calibri"/>
          <w:b w:val="0"/>
          <w:i/>
          <w:color w:val="78716C"/>
          <w:sz w:val="22"/>
        </w:rPr>
        <w:t>The case for compliant, self-serve service journeys — and a prototype that makes it concrete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FAF6EF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/>
                <w:i w:val="0"/>
                <w:color w:val="57534E"/>
                <w:sz w:val="17"/>
              </w:rPr>
              <w:t>Author</w:t>
            </w:r>
          </w:p>
        </w:tc>
        <w:tc>
          <w:tcPr>
            <w:tcW w:type="dxa" w:w="7200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7"/>
              </w:rPr>
              <w:t>Alan Davidson</w:t>
            </w:r>
          </w:p>
        </w:tc>
      </w:tr>
      <w:tr>
        <w:tc>
          <w:tcPr>
            <w:tcW w:type="dxa" w:w="4824"/>
            <w:shd w:val="clear" w:fill="FAF6EF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/>
                <w:i w:val="0"/>
                <w:color w:val="57534E"/>
                <w:sz w:val="17"/>
              </w:rPr>
              <w:t>Document owner</w:t>
            </w:r>
          </w:p>
        </w:tc>
        <w:tc>
          <w:tcPr>
            <w:tcW w:type="dxa" w:w="7200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7"/>
              </w:rPr>
              <w:t>Alan Davidson</w:t>
            </w:r>
          </w:p>
        </w:tc>
      </w:tr>
      <w:tr>
        <w:tc>
          <w:tcPr>
            <w:tcW w:type="dxa" w:w="4824"/>
            <w:shd w:val="clear" w:fill="FAF6EF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/>
                <w:i w:val="0"/>
                <w:color w:val="57534E"/>
                <w:sz w:val="17"/>
              </w:rPr>
              <w:t>Classification</w:t>
            </w:r>
          </w:p>
        </w:tc>
        <w:tc>
          <w:tcPr>
            <w:tcW w:type="dxa" w:w="7200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7"/>
              </w:rPr>
              <w:t>Internal · Confidential</w:t>
            </w:r>
          </w:p>
        </w:tc>
      </w:tr>
      <w:tr>
        <w:tc>
          <w:tcPr>
            <w:tcW w:type="dxa" w:w="4824"/>
            <w:shd w:val="clear" w:fill="FAF6EF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/>
                <w:i w:val="0"/>
                <w:color w:val="57534E"/>
                <w:sz w:val="17"/>
              </w:rPr>
              <w:t>Version</w:t>
            </w:r>
          </w:p>
        </w:tc>
        <w:tc>
          <w:tcPr>
            <w:tcW w:type="dxa" w:w="7200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7"/>
              </w:rPr>
              <w:t>2.0</w:t>
            </w:r>
          </w:p>
        </w:tc>
      </w:tr>
      <w:tr>
        <w:tc>
          <w:tcPr>
            <w:tcW w:type="dxa" w:w="4824"/>
            <w:shd w:val="clear" w:fill="FAF6EF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/>
                <w:i w:val="0"/>
                <w:color w:val="57534E"/>
                <w:sz w:val="17"/>
              </w:rPr>
              <w:t>Date</w:t>
            </w:r>
          </w:p>
        </w:tc>
        <w:tc>
          <w:tcPr>
            <w:tcW w:type="dxa" w:w="7200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7"/>
              </w:rPr>
              <w:t>July 2026</w:t>
            </w:r>
          </w:p>
        </w:tc>
      </w:tr>
      <w:tr>
        <w:tc>
          <w:tcPr>
            <w:tcW w:type="dxa" w:w="4824"/>
            <w:shd w:val="clear" w:fill="FAF6EF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/>
                <w:i w:val="0"/>
                <w:color w:val="57534E"/>
                <w:sz w:val="17"/>
              </w:rPr>
              <w:t>Status</w:t>
            </w:r>
          </w:p>
        </w:tc>
        <w:tc>
          <w:tcPr>
            <w:tcW w:type="dxa" w:w="7200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7"/>
              </w:rPr>
              <w:t>Position paper — for internal discussion</w:t>
            </w:r>
          </w:p>
        </w:tc>
      </w:tr>
      <w:tr>
        <w:tc>
          <w:tcPr>
            <w:tcW w:type="dxa" w:w="4824"/>
            <w:shd w:val="clear" w:fill="FAF6EF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/>
                <w:i w:val="0"/>
                <w:color w:val="57534E"/>
                <w:sz w:val="17"/>
              </w:rPr>
              <w:t>Audience</w:t>
            </w:r>
          </w:p>
        </w:tc>
        <w:tc>
          <w:tcPr>
            <w:tcW w:type="dxa" w:w="7200"/>
            <w:tcBorders>
              <w:top w:val="single" w:sz="6" w:space="0" w:color="E7E5E4"/>
              <w:bottom w:val="single" w:sz="6" w:space="0" w:color="E7E5E4"/>
            </w:tcBorders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7"/>
              </w:rPr>
              <w:t>Business Banking leadership, product, and risk &amp; compliance</w:t>
            </w:r>
          </w:p>
        </w:tc>
      </w:tr>
    </w:tbl>
    <w:p>
      <w:pPr>
        <w:spacing w:before="440" w:after="80"/>
      </w:pPr>
      <w:r>
        <w:rPr>
          <w:rFonts w:ascii="Calibri" w:hAnsi="Calibri"/>
          <w:b/>
          <w:i w:val="0"/>
          <w:color w:val="1C1917"/>
          <w:sz w:val="24"/>
        </w:rPr>
        <w:t>Contents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1  Position in brief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2  The problem: paper in the critical path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3  The opportunity: compliant self-serve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4  Why now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5  Evidence: the prototype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6  Benefits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7  Risks and mitigations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8  Recommendation</w:t>
      </w:r>
    </w:p>
    <w:p>
      <w:pPr>
        <w:spacing w:after="40"/>
      </w:pPr>
      <w:r>
        <w:rPr>
          <w:rFonts w:ascii="Calibri" w:hAnsi="Calibri"/>
          <w:b w:val="0"/>
          <w:i w:val="0"/>
          <w:color w:val="57534E"/>
          <w:sz w:val="20"/>
        </w:rPr>
        <w:t>References</w:t>
      </w:r>
    </w:p>
    <w:p>
      <w:r>
        <w:br w:type="page"/>
      </w: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POSITION IN BRIEF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1   Position in brief</w:t>
      </w:r>
    </w:p>
    <w:p>
      <w:pPr>
        <w:spacing w:before="0" w:after="140" w:line="312" w:lineRule="auto"/>
      </w:pPr>
      <w:r>
        <w:rPr>
          <w:rFonts w:ascii="Calibri" w:hAnsi="Calibri"/>
          <w:b w:val="0"/>
          <w:i w:val="0"/>
          <w:color w:val="1C1917"/>
          <w:sz w:val="24"/>
        </w:rPr>
        <w:t>Business-banking service events that still depend on paper and branch attendance should be re-imagined as guided, digitally-signed, self-serve journeys — with the regulatory controls built into the flow. The case is not merely one of convenience: done well, this model reduces cost and elapsed time, improves the customer experience, and strengthens compliance by making every control explicit, consistent and automatically recorded.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917"/>
          <w:sz w:val="21"/>
        </w:rPr>
        <w:t>This paper sets out the argument in four moves — the problem, the opportunity, the timing, and the evidence — and closes with a specific recommendation. A working front-end prototype accompanies it and makes the proposition concrete enough to test.</w:t>
      </w: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THE PROBLEM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2   The problem: paper in the critical path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917"/>
          <w:sz w:val="21"/>
        </w:rPr>
        <w:t>Across mandates, payments, closures, disputes and onboarding, too many journeys still sit on posted forms, wet-ink signatures, faxed details and branch visits. The consequence is not a single large failure but a steady accumulation of small ones: latency, cost, error and an experience that visibly lags the rest of digital banking.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Latency — postal round-trips convert minutes of decision-making into days of elapsed time.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Cost — paper handling, re-keying and exception management carry real and recurring operational expense.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Risk — manually-applied controls are harder to apply consistently and harder still to evidence [1].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Experience — business customers now expect to self-serve, at any hour, from any device.</w:t>
      </w: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THE OPPORTUNITY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3   The opportunity: compliant self-serve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917"/>
          <w:sz w:val="21"/>
        </w:rPr>
        <w:t>The controls these journeys require — identity, authorisation to the correct mandate, Confirmation of Payee [4], sanctions and PEP screening [8], cooling-off, and audit [12] — are precisely the tasks software performs consistently and at scale. Expressed inside the workflow, a control stops being a reason to keep paper and becomes the mechanism that makes a faster, self-serve journey safe.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fill="FAF6EF"/>
            <w:tcBorders>
              <w:left w:val="single" w:sz="24" w:space="0" w:color="C8102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8102E"/>
                <w:sz w:val="17"/>
              </w:rPr>
              <w:t xml:space="preserve">THE REFRAMING  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917"/>
                <w:sz w:val="21"/>
              </w:rPr>
              <w:t>Compliance and customer experience are usually treated as a trade-off. Building the controls into the flow collapses that trade-off: the same design that removes the paper is the one that applies the control more consistently than paper ever did.</w:t>
            </w:r>
          </w:p>
        </w:tc>
      </w:tr>
    </w:tbl>
    <w:p>
      <w:pPr>
        <w:spacing w:after="40"/>
      </w:pP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WHY NOW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4   Why now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917"/>
          <w:sz w:val="21"/>
        </w:rPr>
        <w:t>Three developments make this the right moment rather than merely a good idea: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Regulatory direction rewards it. The Consumer Duty [1] expects demonstrable good outcomes, and the APP reimbursement regime [7] raises the cost of inconsistent payment controls — both favour controls that are built in and evidenced.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Expectations have shifted. Business customers increasingly expect parity with the best consumer digital experiences, and judge the bank against them.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The building blocks are mature. Confirmation of Payee [4], Strong Customer Authentication [3] and digital identity are established, reusable capabilities rather than research projects.</w:t>
      </w: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EVIDENCE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5   Evidence: the prototype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917"/>
          <w:sz w:val="21"/>
        </w:rPr>
        <w:t>A self-initiated front-end prototype implements seventeen paperless journeys across seven business entity types, each replacing a specific paper or branch process and surfacing the control that governs it — from mandate changes and bulk payments to disputes, cross-border beneficiary onboarding, balance certificates and device management. It is a clickable articulation of this position, deliberately front-end only and carrying no real data. Its role is to move the conversation from slideware to something colleagues, risk stakeholders and customers can actually use.</w:t>
      </w: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BENEFITS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6   Benefits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917"/>
          <w:sz w:val="21"/>
        </w:rPr>
        <w:t>The value accrues to three parties at once, which is what makes the proposition durable rather than a cost-shifting exercise: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68"/>
            <w:shd w:val="clear" w:fill="1C1917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Stakeholder</w:t>
            </w:r>
          </w:p>
        </w:tc>
        <w:tc>
          <w:tcPr>
            <w:tcW w:type="dxa" w:w="6690"/>
            <w:shd w:val="clear" w:fill="1C1917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Benefit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color w:val="1C1917"/>
                <w:sz w:val="18"/>
              </w:rPr>
              <w:t>Customer</w:t>
            </w:r>
          </w:p>
        </w:tc>
        <w:tc>
          <w:tcPr>
            <w:tcW w:type="dxa" w:w="6690"/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8"/>
              </w:rPr>
              <w:t>Faster outcomes, self-serve at any time, clear status, and fewer branch visits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color w:val="1C1917"/>
                <w:sz w:val="18"/>
              </w:rPr>
              <w:t>Bank</w:t>
            </w:r>
          </w:p>
        </w:tc>
        <w:tc>
          <w:tcPr>
            <w:tcW w:type="dxa" w:w="6690"/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8"/>
              </w:rPr>
              <w:t>Lower cost-to-serve, fewer exceptions, consistent control application, and a stronger audit position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color w:val="1C1917"/>
                <w:sz w:val="18"/>
              </w:rPr>
              <w:t>Risk &amp; compliance</w:t>
            </w:r>
          </w:p>
        </w:tc>
        <w:tc>
          <w:tcPr>
            <w:tcW w:type="dxa" w:w="6690"/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8"/>
              </w:rPr>
              <w:t>Controls made explicit and logged [12]; fair treatment and cooling-off designed in [1]</w:t>
            </w:r>
          </w:p>
        </w:tc>
      </w:tr>
    </w:tbl>
    <w:p>
      <w:pPr>
        <w:spacing w:after="40"/>
      </w:pP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RISKS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7   Risks and mitigations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917"/>
          <w:sz w:val="21"/>
        </w:rPr>
        <w:t>The proposition carries real risks; each has a credible mitigation, and none is a reason for inaction: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81"/>
            <w:shd w:val="clear" w:fill="1C1917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6576"/>
            <w:shd w:val="clear" w:fill="1C1917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i w:val="0"/>
                <w:color w:val="1C1917"/>
                <w:sz w:val="18"/>
              </w:rPr>
              <w:t>Digital exclusion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8"/>
              </w:rPr>
              <w:t>Retain assisted and non-digital routes; design to WCAG 2.1 AA [16] from the outset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i w:val="0"/>
                <w:color w:val="1C1917"/>
                <w:sz w:val="18"/>
              </w:rPr>
              <w:t>Fraud and social engineering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8"/>
              </w:rPr>
              <w:t>Strong authentication [3], Confirmation of Payee [4], screening [8], and cooling-off windows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i w:val="0"/>
                <w:color w:val="1C1917"/>
                <w:sz w:val="18"/>
              </w:rPr>
              <w:t>Regulatory change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8"/>
              </w:rPr>
              <w:t>Model controls as configurable policy rather than hard-coded logic, so rules can move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i w:val="0"/>
                <w:color w:val="1C1917"/>
                <w:sz w:val="18"/>
              </w:rPr>
              <w:t>Adoption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color w:val="1C1917"/>
                <w:sz w:val="18"/>
              </w:rPr>
              <w:t>Validate journeys with customer research before scaling; sequence by value, not by ease</w:t>
            </w:r>
          </w:p>
        </w:tc>
      </w:tr>
    </w:tbl>
    <w:p>
      <w:pPr>
        <w:spacing w:after="40"/>
      </w:pP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RECOMMENDATION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8   Recommendation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917"/>
          <w:sz w:val="21"/>
        </w:rPr>
        <w:t>On the strength of the argument and the accompanying prototype, the recommendation is to: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Endorse the paperless, compliant-by-design model as the target for business-banking service journeys.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Select a small set of highest-value journeys for a backend-integrated pilot with defined success measures.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Fund structured customer research using the prototype as the discussion artefact.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C1917"/>
          <w:sz w:val="21"/>
        </w:rPr>
        <w:t>Define the production integration, security and data-protection requirements in parallel, so a positive pilot can proceed without a standing start.</w:t>
      </w:r>
    </w:p>
    <w:p>
      <w:pPr>
        <w:spacing w:before="280" w:after="20"/>
      </w:pPr>
      <w:r>
        <w:rPr>
          <w:rFonts w:ascii="Calibri" w:hAnsi="Calibri"/>
          <w:b/>
          <w:i w:val="0"/>
          <w:color w:val="C8102E"/>
          <w:sz w:val="16"/>
        </w:rPr>
        <w:t>REFERENCES</w:t>
      </w:r>
    </w:p>
    <w:p>
      <w:pPr>
        <w:spacing w:before="40" w:after="100"/>
        <w:pBdr>
          <w:bottom w:val="single" w:sz="6" w:space="4" w:color="E7E5E4"/>
        </w:pBdr>
      </w:pPr>
      <w:r>
        <w:rPr>
          <w:rFonts w:ascii="Calibri" w:hAnsi="Calibri"/>
          <w:b/>
          <w:i w:val="0"/>
          <w:color w:val="1C1917"/>
          <w:sz w:val="30"/>
        </w:rPr>
        <w:t>References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[1]  </w:t>
      </w:r>
      <w:r>
        <w:rPr>
          <w:rFonts w:ascii="Calibri" w:hAnsi="Calibri"/>
          <w:b w:val="0"/>
          <w:i w:val="0"/>
          <w:color w:val="1C1917"/>
          <w:sz w:val="18"/>
        </w:rPr>
        <w:t>FCA, A New Consumer Duty — Policy Statement PS22/9 (July 2022); FCA Principle 12 and PRIN 2A.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[2]  </w:t>
      </w:r>
      <w:r>
        <w:rPr>
          <w:rFonts w:ascii="Calibri" w:hAnsi="Calibri"/>
          <w:b w:val="0"/>
          <w:i w:val="0"/>
          <w:color w:val="1C1917"/>
          <w:sz w:val="18"/>
        </w:rPr>
        <w:t>The Payment Services Regulations 2017 (SI 2017/752), transposing Directive (EU) 2015/2366 (PSD2); main provisions in force from 13 January 2018 and the secure-communication / SCA provisions from 14 September 2019. Now within the repeal-and-replace programme under the Financial Services and Markets Act 2023.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[3]  </w:t>
      </w:r>
      <w:r>
        <w:rPr>
          <w:rFonts w:ascii="Calibri" w:hAnsi="Calibri"/>
          <w:b w:val="0"/>
          <w:i w:val="0"/>
          <w:color w:val="1C1917"/>
          <w:sz w:val="18"/>
        </w:rPr>
        <w:t>Commission Delegated Regulation (EU) 2018/389 — Regulatory Technical Standards for Strong Customer Authentication and common and secure open standards of communication (SCA-RTS).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[4]  </w:t>
      </w:r>
      <w:r>
        <w:rPr>
          <w:rFonts w:ascii="Calibri" w:hAnsi="Calibri"/>
          <w:b w:val="0"/>
          <w:i w:val="0"/>
          <w:color w:val="1C1917"/>
          <w:sz w:val="18"/>
        </w:rPr>
        <w:t>Pay.UK — Confirmation of Payee (CoP) scheme rules.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[5]  </w:t>
      </w:r>
      <w:r>
        <w:rPr>
          <w:rFonts w:ascii="Calibri" w:hAnsi="Calibri"/>
          <w:b w:val="0"/>
          <w:i w:val="0"/>
          <w:color w:val="1C1917"/>
          <w:sz w:val="18"/>
        </w:rPr>
        <w:t>Bacs — the Direct Debit Guarantee.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[6]  </w:t>
      </w:r>
      <w:r>
        <w:rPr>
          <w:rFonts w:ascii="Calibri" w:hAnsi="Calibri"/>
          <w:b w:val="0"/>
          <w:i w:val="0"/>
          <w:color w:val="1C1917"/>
          <w:sz w:val="18"/>
        </w:rPr>
        <w:t>The Payment Services Regulations 2017, regs 76–77 (unauthorised and incorrectly executed transactions).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[7]  </w:t>
      </w:r>
      <w:r>
        <w:rPr>
          <w:rFonts w:ascii="Calibri" w:hAnsi="Calibri"/>
          <w:b w:val="0"/>
          <w:i w:val="0"/>
          <w:color w:val="1C1917"/>
          <w:sz w:val="18"/>
        </w:rPr>
        <w:t>PSR — Faster Payments APP scams mandatory reimbursement requirement (in force 7 October 2024).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[8]  </w:t>
      </w:r>
      <w:r>
        <w:rPr>
          <w:rFonts w:ascii="Calibri" w:hAnsi="Calibri"/>
          <w:b w:val="0"/>
          <w:i w:val="0"/>
          <w:color w:val="1C1917"/>
          <w:sz w:val="18"/>
        </w:rPr>
        <w:t>The Money Laundering, Terrorist Financing and Transfer of Funds (Information on the Payer) Regulations 2017 (SI 2017/692).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[9]  </w:t>
      </w:r>
      <w:r>
        <w:rPr>
          <w:rFonts w:ascii="Calibri" w:hAnsi="Calibri"/>
          <w:b w:val="0"/>
          <w:i w:val="0"/>
          <w:color w:val="1C1917"/>
          <w:sz w:val="18"/>
        </w:rPr>
        <w:t>Regulation (EU) 2015/847 on information accompanying transfers of funds (the Funds Transfer Regulation), as retained in UK law.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[10]  </w:t>
      </w:r>
      <w:r>
        <w:rPr>
          <w:rFonts w:ascii="Calibri" w:hAnsi="Calibri"/>
          <w:b w:val="0"/>
          <w:i w:val="0"/>
          <w:color w:val="1C1917"/>
          <w:sz w:val="18"/>
        </w:rPr>
        <w:t>FCA Handbook — Dispute Resolution: Complaints (DISP); the Financial Ombudsman Service.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[11]  </w:t>
      </w:r>
      <w:r>
        <w:rPr>
          <w:rFonts w:ascii="Calibri" w:hAnsi="Calibri"/>
          <w:b w:val="0"/>
          <w:i w:val="0"/>
          <w:color w:val="1C1917"/>
          <w:sz w:val="18"/>
        </w:rPr>
        <w:t>FCA Handbook — Banking: Conduct of Business Sourcebook (BCOBS).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[12]  </w:t>
      </w:r>
      <w:r>
        <w:rPr>
          <w:rFonts w:ascii="Calibri" w:hAnsi="Calibri"/>
          <w:b w:val="0"/>
          <w:i w:val="0"/>
          <w:color w:val="1C1917"/>
          <w:sz w:val="18"/>
        </w:rPr>
        <w:t>FCA Handbook — Senior Management Arrangements, Systems and Controls (SYSC 9 record-keeping); the Senior Managers and Certification Regime (SM&amp;CR).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[13]  </w:t>
      </w:r>
      <w:r>
        <w:rPr>
          <w:rFonts w:ascii="Calibri" w:hAnsi="Calibri"/>
          <w:b w:val="0"/>
          <w:i w:val="0"/>
          <w:color w:val="1C1917"/>
          <w:sz w:val="18"/>
        </w:rPr>
        <w:t>Consumer Credit Act 1974.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[14]  </w:t>
      </w:r>
      <w:r>
        <w:rPr>
          <w:rFonts w:ascii="Calibri" w:hAnsi="Calibri"/>
          <w:b w:val="0"/>
          <w:i w:val="0"/>
          <w:color w:val="1C1917"/>
          <w:sz w:val="18"/>
        </w:rPr>
        <w:t>HMRC — Making Tax Digital for VAT.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[15]  </w:t>
      </w:r>
      <w:r>
        <w:rPr>
          <w:rFonts w:ascii="Calibri" w:hAnsi="Calibri"/>
          <w:b w:val="0"/>
          <w:i w:val="0"/>
          <w:color w:val="1C1917"/>
          <w:sz w:val="18"/>
        </w:rPr>
        <w:t>UK GDPR and the Data Protection Act 2018, as amended by the Data (Use and Access) Act 2025 (Royal Assent 19 June 2025; principal data-protection reforms in Part 5 in force from 5 February 2026; a data-subject complaints-handling duty under s.103 from 19 June 2026; the regulator is being reconstituted as the Information Commission). Article 5(1)(c) — data minimisation and purpose limitation.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[16]  </w:t>
      </w:r>
      <w:r>
        <w:rPr>
          <w:rFonts w:ascii="Calibri" w:hAnsi="Calibri"/>
          <w:b w:val="0"/>
          <w:i w:val="0"/>
          <w:color w:val="1C1917"/>
          <w:sz w:val="18"/>
        </w:rPr>
        <w:t>W3C — Web Content Accessibility Guidelines (WCAG) 2.1, Level AA.</w:t>
      </w:r>
    </w:p>
    <w:p>
      <w:pPr>
        <w:spacing w:after="60"/>
        <w:ind w:left="504" w:hanging="504"/>
      </w:pPr>
      <w:r>
        <w:rPr>
          <w:rFonts w:ascii="Calibri" w:hAnsi="Calibri"/>
          <w:b/>
          <w:i w:val="0"/>
          <w:color w:val="57534E"/>
          <w:sz w:val="18"/>
        </w:rPr>
        <w:t xml:space="preserve">[17]  </w:t>
      </w:r>
      <w:r>
        <w:rPr>
          <w:rFonts w:ascii="Calibri" w:hAnsi="Calibri"/>
          <w:b w:val="0"/>
          <w:i w:val="0"/>
          <w:color w:val="1C1917"/>
          <w:sz w:val="18"/>
        </w:rPr>
        <w:t>ICO — guidance on the pre-employment vetting of candidates: necessity, proportionality and data minimisation when verifying individuals (relevant to the signatory ID register).</w:t>
      </w:r>
    </w:p>
    <w:p/>
    <w:p>
      <w:r>
        <w:rPr>
          <w:rFonts w:ascii="Calibri" w:hAnsi="Calibri"/>
          <w:b w:val="0"/>
          <w:i/>
          <w:color w:val="78716C"/>
          <w:sz w:val="16"/>
        </w:rPr>
        <w:t>Concept prototype — front-end only. No backend, no live system connections, and no real customer, account or payment data. Prepared for internal discussion.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24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48" w:val="right"/>
      </w:tabs>
    </w:pPr>
    <w:r/>
    <w:r>
      <w:rPr>
        <w:color w:val="78716C"/>
        <w:sz w:val="15"/>
      </w:rPr>
      <w:t>Alan Davidson  ·  Internal · Confidential</w:t>
    </w:r>
    <w:r>
      <w:rPr>
        <w:color w:val="78716C"/>
        <w:sz w:val="15"/>
      </w:rPr>
      <w:tab/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48" w:val="right"/>
      </w:tabs>
      <w:pBdr>
        <w:bottom w:val="single" w:sz="4" w:space="4" w:color="E7E5E4"/>
      </w:pBdr>
    </w:pPr>
    <w:r/>
    <w:r>
      <w:rPr>
        <w:color w:val="78716C"/>
        <w:sz w:val="15"/>
      </w:rPr>
      <w:t>Paperless Business Banking — Position Paper</w:t>
    </w:r>
    <w:r>
      <w:rPr>
        <w:b/>
        <w:color w:val="C8102E"/>
        <w:sz w:val="15"/>
      </w:rPr>
      <w:tab/>
      <w:t>INTERNAL ·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