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before="0" w:after="200"/>
      </w:pPr>
      <w:r>
        <w:rPr>
          <w:rFonts w:ascii="Calibri" w:hAnsi="Calibri"/>
          <w:b/>
          <w:i w:val="0"/>
          <w:color w:val="C8102E"/>
          <w:sz w:val="18"/>
        </w:rPr>
        <w:t>INTERNAL · CONFIDENTIAL</w:t>
      </w:r>
    </w:p>
    <w:p>
      <w:pPr>
        <w:spacing w:before="0" w:after="0"/>
      </w:pPr>
      <w:r>
        <w:rPr>
          <w:rFonts w:ascii="Calibri" w:hAnsi="Calibri"/>
          <w:b/>
          <w:i w:val="0"/>
          <w:color w:val="1C1917"/>
          <w:sz w:val="60"/>
        </w:rPr>
        <w:t>Santander Business Banking</w:t>
      </w:r>
    </w:p>
    <w:p>
      <w:pPr>
        <w:spacing w:before="0" w:after="60"/>
      </w:pPr>
      <w:r>
        <w:rPr>
          <w:rFonts w:ascii="Calibri" w:hAnsi="Calibri"/>
          <w:b w:val="0"/>
          <w:i w:val="0"/>
          <w:color w:val="57534E"/>
          <w:sz w:val="34"/>
        </w:rPr>
        <w:t>Concept Prototype — Technical Report</w:t>
      </w:r>
    </w:p>
    <w:p>
      <w:pPr>
        <w:spacing w:before="0" w:after="360"/>
      </w:pPr>
      <w:r>
        <w:rPr>
          <w:rFonts w:ascii="Calibri" w:hAnsi="Calibri"/>
          <w:b w:val="0"/>
          <w:i/>
          <w:color w:val="78716C"/>
          <w:sz w:val="22"/>
        </w:rPr>
        <w:t>A front-end exploration of paperless, compliant-by-design service journeys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448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Author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Document owner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Alan Davidson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Classification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Internal · Confidential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Version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2.0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Date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July 2026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Status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Concept prototype — for internal discussion and customer research</w:t>
            </w:r>
          </w:p>
        </w:tc>
      </w:tr>
      <w:tr>
        <w:tc>
          <w:tcPr>
            <w:tcW w:type="dxa" w:w="4824"/>
            <w:shd w:val="clear" w:fill="FAF6EF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/>
                <w:i w:val="0"/>
                <w:color w:val="57534E"/>
                <w:sz w:val="17"/>
              </w:rPr>
              <w:t>Distribution</w:t>
            </w:r>
          </w:p>
        </w:tc>
        <w:tc>
          <w:tcPr>
            <w:tcW w:type="dxa" w:w="7200"/>
            <w:tcBorders>
              <w:top w:val="single" w:sz="6" w:space="0" w:color="E7E5E4"/>
              <w:bottom w:val="single" w:sz="6" w:space="0" w:color="E7E5E4"/>
            </w:tcBorders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7"/>
              </w:rPr>
              <w:t>Business Banking product, design, and risk &amp; compliance stakeholders</w:t>
            </w:r>
          </w:p>
        </w:tc>
      </w:tr>
    </w:tbl>
    <w:p>
      <w:pPr>
        <w:spacing w:before="440" w:after="80"/>
      </w:pPr>
      <w:r>
        <w:rPr>
          <w:rFonts w:ascii="Calibri" w:hAnsi="Calibri"/>
          <w:b/>
          <w:i w:val="0"/>
          <w:color w:val="1C1917"/>
          <w:sz w:val="24"/>
        </w:rPr>
        <w:t>Contents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1  Executive summary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2  Context and problem statement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3  Objectives, scope and non-goals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4  System architecture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5  Workflow catalogue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6  Regulatory control mapping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7  Engineering and quality approach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8  Accessibility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9  Limitations and assumptions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10  Indicative next steps</w:t>
      </w:r>
    </w:p>
    <w:p>
      <w:pPr>
        <w:spacing w:after="40"/>
      </w:pPr>
      <w:r>
        <w:rPr>
          <w:rFonts w:ascii="Calibri" w:hAnsi="Calibri"/>
          <w:b w:val="0"/>
          <w:i w:val="0"/>
          <w:color w:val="57534E"/>
          <w:sz w:val="20"/>
        </w:rPr>
        <w:t>References</w:t>
      </w:r>
    </w:p>
    <w:p>
      <w:r>
        <w:br w:type="page"/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1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1   Executive summary</w:t>
      </w:r>
    </w:p>
    <w:p>
      <w:pPr>
        <w:spacing w:before="0" w:after="140" w:line="312" w:lineRule="auto"/>
      </w:pPr>
      <w:r>
        <w:rPr>
          <w:rFonts w:ascii="Calibri" w:hAnsi="Calibri"/>
          <w:b w:val="0"/>
          <w:i w:val="0"/>
          <w:color w:val="1C1917"/>
          <w:sz w:val="24"/>
        </w:rPr>
        <w:t>Business banking retains a striking dependence on paper. Mandate variations, account closures, beneficiary onboarding and dispute handling still routinely require posted forms, wet-ink signatures and branch attendance — processes that impose days of latency, measurable operational cost, and inconsistent application of controls at exactly the points where regulatory rigour matters most.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This report describes a self-initiated concept prototype that reframes seventeen such service events as guided, digitally-signed, self-serve journeys. The distinguishing idea is that the controls each journey must satisfy — Strong Customer Authentication [3], Confirmation of Payee [4], sanctions and politically-exposed-person screening [8], cooling-off, and record-keeping [12] — are expressed inside the flow rather than appended through manual back-office process. Control thereby becomes an enabler of a better experience instead of the reason to retain paper.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is deliberately a front-end artefact. It holds no customer data, connects to no live system, and is not a release candidate. Its purpose is to make a service proposition tangible enough to test — with colleagues, with risk and compliance, and with business customers — before any commitment to build.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26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Dimension</w:t>
            </w:r>
          </w:p>
        </w:tc>
        <w:tc>
          <w:tcPr>
            <w:tcW w:type="dxa" w:w="6690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Summary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Workflows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Seventeen end-to-end paperless journeys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Entity coverage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Seven business types (sole trader, partnership, limited company, LLP, charity, club, society)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Platform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Single-file React front end, compiled to one self-contained HTML bundle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Regulatory framing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PSD2/SCA, CoP, PSR 2017, MLR 2017, FCA DISP/BCOBS/SYSC, Consumer Duty, UK GDPR, MTD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Scope</w:t>
            </w:r>
          </w:p>
        </w:tc>
        <w:tc>
          <w:tcPr>
            <w:tcW w:type="dxa" w:w="6690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Front-end concept only — no backend, no real data, not production-hardened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2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2   Context and problem statement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friction in business-banking servicing is not primarily a technology gap; it is a process gap. The underlying capabilities — digital identity, strong authentication, Confirmation of Payee and real-time payments — are mature and, in several cases, mandated. Yet the service events that sit on top of them are frequently still discharged on paper, for three connected reasons: the controls are treated as separate from the customer journey; the journeys are owned by different teams; and no single artefact makes the end-to-end experience concrete enough to challenge.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cost of that gap is cumulative. Postal round-trips convert minutes of decision-making into days of elapsed time. Manual re-keying introduces error and rework. And discretionary, manually-applied controls are, by construction, harder to evidence consistently — a growing concern under the FCA Consumer Duty [1], which expects firms to demonstrate good outcomes rather than assert them.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504"/>
            <w:shd w:val="clear" w:fill="FAF6EF"/>
            <w:tcBorders>
              <w:left w:val="single" w:sz="24" w:space="0" w:color="C8102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C8102E"/>
                <w:sz w:val="17"/>
              </w:rPr>
              <w:t xml:space="preserve">THE CORE QUESTION  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C1917"/>
                <w:sz w:val="21"/>
              </w:rPr>
              <w:t>What would these service events look like if they were re-imagined as in-app, self-serve, compliant-by-design journeys — with each regulatory check built into the flow, applied consistently, and recorded automatically?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3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3   Objectives, scope and non-goals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was built to answer that question in a form that can be reviewed and tested, not merely described. Its objectives are therefore evidential rather than technical: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Demonstrate credible paperless equivalents for the most paper-heavy business-banking service events.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Express, within each journey, the specific regulatory control it must satisfy — so reviewers can see where an obligation is met rather than infer it.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Provide a single, clickable artefact for internal review and structured customer research.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Establish a consistent design language and a measurable accessibility standard for the journeys.</w:t>
      </w:r>
    </w:p>
    <w:p>
      <w:pPr>
        <w:spacing w:before="180" w:after="40"/>
      </w:pPr>
      <w:r>
        <w:rPr>
          <w:rFonts w:ascii="Calibri" w:hAnsi="Calibri"/>
          <w:b/>
          <w:i w:val="0"/>
          <w:color w:val="57534E"/>
          <w:sz w:val="23"/>
        </w:rPr>
        <w:t>Non-goals (explicitly out of scope)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Equally important is what the prototype is not, so that its evidence is read correctly: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No backend, database, or integration with live banking systems.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No real customer, account, or payment data — every figure and reference is illustrative and fictional.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No production security hardening; this is a concept artefact, not a release candidate.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No processing of real payments, identity documents, or regulatory submissions.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4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4   System architecture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is implemented as a single React component compiled by Vite into one self-contained HTML bundle. This is an unusual choice for production software but a deliberate one for a concept artefact: it keeps the entire product readable top-to-bottom, removes build-and-deploy friction, and lets the whole experience be shared as a single file. The trade-off — that all state lives in one component — is acceptable precisely because the artefact is not intended to scale as a codebase.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28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Architectural choice</w:t>
            </w:r>
          </w:p>
        </w:tc>
        <w:tc>
          <w:tcPr>
            <w:tcW w:type="dxa" w:w="5669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Rationale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Single-file React front end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Whole product legible in one place; no module navigation to review it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Compiled to one HTML artefact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Frictionless to deploy, host, or hand to a colleague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Two shells, shared state (mobile &amp; desktop)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Demonstrates responsive parity without a second codebase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Workflow-overlay model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Each journey is a self-contained, multi-step wizard over the main app</w:t>
            </w:r>
          </w:p>
        </w:tc>
      </w:tr>
      <w:tr>
        <w:tc>
          <w:tcPr>
            <w:tcW w:type="dxa" w:w="328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Entity system (7 business types)</w:t>
            </w:r>
          </w:p>
        </w:tc>
        <w:tc>
          <w:tcPr>
            <w:tcW w:type="dxa" w:w="5669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Accounts, mandate rules, labels and required documents reconfigure per type</w:t>
            </w:r>
          </w:p>
        </w:tc>
      </w:tr>
    </w:tbl>
    <w:p>
      <w:pPr>
        <w:spacing w:after="40"/>
      </w:pPr>
    </w:p>
    <w:p>
      <w:pPr>
        <w:spacing w:before="180" w:after="40"/>
      </w:pPr>
      <w:r>
        <w:rPr>
          <w:rFonts w:ascii="Calibri" w:hAnsi="Calibri"/>
          <w:b/>
          <w:i w:val="0"/>
          <w:color w:val="57534E"/>
          <w:sz w:val="23"/>
        </w:rPr>
        <w:t>Mandate and authorisation model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Authorisation is modelled explicitly. Each account carries a signing rule — any-one, any-two, or all signatories — and every workflow resolves the strictest applicable rule across the accounts it touches. That resolved rule determines whether an instruction can proceed immediately, requires a co-signatory, or enters a cooling-off period. Encoding authorisation as data rather than as bespoke per-journey logic is what allows the same seventeen journeys to behave correctly across all seven entity types.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5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5   Workflow catalogue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implements seventeen end-to-end workflows. Each replaces an identifiable paper or branch-based process and surfaces the control that governs it.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26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Workflow</w:t>
            </w:r>
          </w:p>
        </w:tc>
        <w:tc>
          <w:tcPr>
            <w:tcW w:type="dxa" w:w="4422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What it replaces / does</w:t>
            </w:r>
          </w:p>
        </w:tc>
        <w:tc>
          <w:tcPr>
            <w:tcW w:type="dxa" w:w="2268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Primary control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Account closure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Posted closure request; in-credit and cooling-off checks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BCOBS [11]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Business details update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Change of name/address/contact with proof of address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KYB [8]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Mandate changes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mandate variation; add/remove signatories, signing rule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SM&amp;CR [12]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Bulk payments / wages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BACS paper schedule; payee book with per-payee CoP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CoP [4]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Pre-approved lending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Facility request by phone/post; offer and draw-down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CCA 1974 [13]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International FX payment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Faxed instruction; rate and fee disclosure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FTR [9]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Dormant reactivation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Branch reactivation of a dormant account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Dormancy handling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Personal / business unlink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Manual separation of personal data from a relationship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UK GDPR [15]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Credit ring-fence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Excludes personal data from business credit decisioning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UK GDPR Art. 5(1)(c) [15]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Signatory ID register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KYC/KYB across identity and address evidence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MLR 2017 [8]; ICO [17]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MTD VAT submission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Manual VAT return; categorise, review, submit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HMRC MTD [14]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Complaint handling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complaint; intake, triage, decision, FOS route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FCA DISP [10]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Standing orders &amp; DDs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mandate / cancellation letter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Direct Debit Guarantee [5]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Transaction dispute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Paper dispute form; chargeback / fraud / DD routes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PSR 2017 regs 76–77 [6]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Intl. beneficiary onboarding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Faxed IBAN and wet-ink verification; screening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MLR 2017 [8], sanctions/PEP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Balance certificate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Written request with postal wait; sealed certificate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Evidence document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Trusted devices &amp; sessions</w:t>
            </w:r>
          </w:p>
        </w:tc>
        <w:tc>
          <w:tcPr>
            <w:tcW w:type="dxa" w:w="4422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Branch visit to reset access; device/session control</w:t>
            </w:r>
          </w:p>
        </w:tc>
        <w:tc>
          <w:tcPr>
            <w:tcW w:type="dxa" w:w="2268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SCA [3], SYSC [12]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6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6   Regulatory control mapping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workflows are designed around the controls a production implementation would require. The prototype surfaces each control in the user experience so that a reviewer can locate where an obligation is discharged. The mapping below is indicative of intent, not a statement of certified compliance.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81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Framework</w:t>
            </w:r>
          </w:p>
        </w:tc>
        <w:tc>
          <w:tcPr>
            <w:tcW w:type="dxa" w:w="5443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Obligation reflected</w:t>
            </w:r>
          </w:p>
        </w:tc>
        <w:tc>
          <w:tcPr>
            <w:tcW w:type="dxa" w:w="1134"/>
            <w:shd w:val="clear" w:fill="1C1917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Ref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Consumer Duty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Demonstrable good outcomes; fair treatment designed into journeys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PSD2 / SCA-RTS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Strong Customer Authentication and risk-based step-up before sensitive actions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[2][3]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Confirmation of Payee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Account-name verification before a first payment to a new payee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[4]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Direct Debit Guarantee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Immediate, guaranteed refund route for Direct Debit disputes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[5]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PSR 2017 (regs 76–77)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Refund of unauthorised transactions; correction of errors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[6]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APP reimbursement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Cancel window and reimbursement framing on outbound payments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[7]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MLR 2017 / FTR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Sanctions, PEP and adverse-media screening; payer/payee information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[8][9]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FCA DISP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Complaint intake, decision, and escalation to the Financial Ombudsman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[10]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FCA SYSC 9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Material actions recorded to an audit trail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[12]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HMRC MTD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Digital preparation and submission of VAT returns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[14]</w:t>
            </w:r>
          </w:p>
        </w:tc>
      </w:tr>
      <w:tr>
        <w:tc>
          <w:tcPr>
            <w:tcW w:type="dxa" w:w="2381"/>
          </w:tcPr>
          <w:p>
            <w:r>
              <w:rPr>
                <w:rFonts w:ascii="Calibri" w:hAnsi="Calibri"/>
                <w:b/>
                <w:i w:val="0"/>
                <w:color w:val="1C1917"/>
                <w:sz w:val="18"/>
              </w:rPr>
              <w:t>UK GDPR</w:t>
            </w:r>
          </w:p>
        </w:tc>
        <w:tc>
          <w:tcPr>
            <w:tcW w:type="dxa" w:w="5443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Data separation, ring-fencing and purpose limitation</w:t>
            </w:r>
          </w:p>
        </w:tc>
        <w:tc>
          <w:tcPr>
            <w:tcW w:type="dxa" w:w="1134"/>
          </w:tcPr>
          <w:p>
            <w:r>
              <w:rPr>
                <w:rFonts w:ascii="Calibri" w:hAnsi="Calibri"/>
                <w:b w:val="0"/>
                <w:i w:val="0"/>
                <w:color w:val="1C1917"/>
                <w:sz w:val="18"/>
              </w:rPr>
              <w:t>[15]</w:t>
            </w:r>
          </w:p>
        </w:tc>
      </w:tr>
    </w:tbl>
    <w:p>
      <w:pPr>
        <w:spacing w:after="40"/>
      </w:pP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7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7   Engineering and quality approach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Although a concept artefact, the prototype is produced through a disciplined, repeatable pipeline. The pipeline exists because the failure modes of a large single-file front end are predictable, and because a credible artefact must actually work when demonstrated — not merely compile. Four stages are kept distinct: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Scaffold — new workflows are generated from a template that encodes the file conventions and forecloses the recurring defects (state reset, dual-shell wiring, input handling).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Review — a parallel, multi-lens review examines each change for architecture, security, engineering, design-system and state-integrity concerns before it is accepted.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Gate — an automated pre-commit check blocks accessibility, colour-token, markup and build regressions from ever leaving the working tree.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Runtime verification — the built application is driven headlessly through real journeys, and audited against WCAG 2.1 AA [16] on each run, so that behaviour is proven rather than assumed.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504"/>
            <w:shd w:val="clear" w:fill="FAF6EF"/>
            <w:tcBorders>
              <w:left w:val="single" w:sz="24" w:space="0" w:color="C8102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C8102E"/>
                <w:sz w:val="17"/>
              </w:rPr>
              <w:t xml:space="preserve">WHY THIS MATTERS  </w:t>
            </w:r>
          </w:p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C1917"/>
                <w:sz w:val="21"/>
              </w:rPr>
              <w:t>Static review confirms that code exists and is well-formed; only driving the running application confirms that a control actually fires. The pipeline is designed so that the artefact demonstrated to stakeholders is the artefact that has been verified.</w:t>
            </w:r>
          </w:p>
        </w:tc>
      </w:tr>
    </w:tbl>
    <w:p>
      <w:pPr>
        <w:spacing w:after="40"/>
      </w:pPr>
    </w:p>
    <w:p>
      <w:pPr>
        <w:spacing w:before="180" w:after="40"/>
      </w:pPr>
      <w:r>
        <w:rPr>
          <w:rFonts w:ascii="Calibri" w:hAnsi="Calibri"/>
          <w:b/>
          <w:i w:val="0"/>
          <w:color w:val="57534E"/>
          <w:sz w:val="23"/>
        </w:rPr>
        <w:t>Design system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 single visual language governs spacing, colour, typography and interaction: a fixed spacing scale, the Santander brand red reserved for the primary action on any screen, a warm neutral palette, tabular figures for every monetary value, and exactly one primary call-to-action per view. Consistency here is not decoration; it is what makes seventeen distinct journeys feel like one coherent product.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8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8   Accessibility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Accessibility is treated as a build gate rather than a closing audit. Interactive controls carry visible focus states and accessible names; status is never signalled by colour alone; and the interface is measured against WCAG 2.1 AA [16] using an automated engine on every verification run. Where the automated audit identified shortfalls — colour-contrast on small text and unnamed icon-only controls — they were corrected and re-measured to zero on the core screens. Full conformance, including assistive-technology testing, is identified as a pre-production activity.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9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9   Limitations and assumptions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The prototype should be read with its boundaries in mind, so that its evidence is neither over- nor under-weighted: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It is front-end only: no data is stored, transmitted or processed, and no control is enforced server-side.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All names, figures, accounts and references are illustrative and fictional.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Regulatory behaviours are represented to communicate intent, not certified for production use.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It has not been security-tested, load-tested, or assured to production standards.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SECTION 10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10   Indicative next steps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1C1917"/>
          <w:sz w:val="21"/>
        </w:rPr>
        <w:t>Should the proposition be endorsed, a proportionate path from concept to pilot would be: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Prioritise the highest-value journeys — by volume, cost-to-serve and customer friction — for a backend-integrated pilot.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Validate the shortlisted journeys with business customers through structured research, using the prototype as the discussion artefact.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Complete a full WCAG 2.1 AA conformance review [16], including assistive-technology testing.</w:t>
      </w:r>
    </w:p>
    <w:p>
      <w:pPr>
        <w:pStyle w:val="ListBullet"/>
        <w:spacing w:after="60"/>
      </w:pPr>
      <w:r>
        <w:rPr>
          <w:rFonts w:ascii="Calibri" w:hAnsi="Calibri"/>
          <w:b w:val="0"/>
          <w:i w:val="0"/>
          <w:color w:val="1C1917"/>
          <w:sz w:val="21"/>
        </w:rPr>
        <w:t>Define the integration, security, resilience and data-protection requirements for a production build, and the target operating model to support it.</w:t>
      </w:r>
    </w:p>
    <w:p>
      <w:pPr>
        <w:spacing w:before="280" w:after="20"/>
      </w:pPr>
      <w:r>
        <w:rPr>
          <w:rFonts w:ascii="Calibri" w:hAnsi="Calibri"/>
          <w:b/>
          <w:i w:val="0"/>
          <w:color w:val="C8102E"/>
          <w:sz w:val="16"/>
        </w:rPr>
        <w:t>REFERENCES</w:t>
      </w:r>
    </w:p>
    <w:p>
      <w:pPr>
        <w:spacing w:before="40" w:after="100"/>
        <w:pBdr>
          <w:bottom w:val="single" w:sz="6" w:space="4" w:color="E7E5E4"/>
        </w:pBdr>
      </w:pPr>
      <w:r>
        <w:rPr>
          <w:rFonts w:ascii="Calibri" w:hAnsi="Calibri"/>
          <w:b/>
          <w:i w:val="0"/>
          <w:color w:val="1C1917"/>
          <w:sz w:val="30"/>
        </w:rPr>
        <w:t>References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[1]  </w:t>
      </w:r>
      <w:r>
        <w:rPr>
          <w:rFonts w:ascii="Calibri" w:hAnsi="Calibri"/>
          <w:b w:val="0"/>
          <w:i w:val="0"/>
          <w:color w:val="1C1917"/>
          <w:sz w:val="18"/>
        </w:rPr>
        <w:t>FCA, A New Consumer Duty — Policy Statement PS22/9 (July 2022); FCA Principle 12 and PRIN 2A.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[2]  </w:t>
      </w:r>
      <w:r>
        <w:rPr>
          <w:rFonts w:ascii="Calibri" w:hAnsi="Calibri"/>
          <w:b w:val="0"/>
          <w:i w:val="0"/>
          <w:color w:val="1C1917"/>
          <w:sz w:val="18"/>
        </w:rPr>
        <w:t>The Payment Services Regulations 2017 (SI 2017/752), transposing Directive (EU) 2015/2366 (PSD2).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[3]  </w:t>
      </w:r>
      <w:r>
        <w:rPr>
          <w:rFonts w:ascii="Calibri" w:hAnsi="Calibri"/>
          <w:b w:val="0"/>
          <w:i w:val="0"/>
          <w:color w:val="1C1917"/>
          <w:sz w:val="18"/>
        </w:rPr>
        <w:t>Commission Delegated Regulation (EU) 2018/389 — Regulatory Technical Standards for Strong Customer Authentication and common and secure open standards of communication (SCA-RTS).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[4]  </w:t>
      </w:r>
      <w:r>
        <w:rPr>
          <w:rFonts w:ascii="Calibri" w:hAnsi="Calibri"/>
          <w:b w:val="0"/>
          <w:i w:val="0"/>
          <w:color w:val="1C1917"/>
          <w:sz w:val="18"/>
        </w:rPr>
        <w:t>Pay.UK — Confirmation of Payee (CoP) scheme rules.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[5]  </w:t>
      </w:r>
      <w:r>
        <w:rPr>
          <w:rFonts w:ascii="Calibri" w:hAnsi="Calibri"/>
          <w:b w:val="0"/>
          <w:i w:val="0"/>
          <w:color w:val="1C1917"/>
          <w:sz w:val="18"/>
        </w:rPr>
        <w:t>Bacs — the Direct Debit Guarantee.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[6]  </w:t>
      </w:r>
      <w:r>
        <w:rPr>
          <w:rFonts w:ascii="Calibri" w:hAnsi="Calibri"/>
          <w:b w:val="0"/>
          <w:i w:val="0"/>
          <w:color w:val="1C1917"/>
          <w:sz w:val="18"/>
        </w:rPr>
        <w:t>The Payment Services Regulations 2017, regs 76–77 (unauthorised and incorrectly executed transactions).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[7]  </w:t>
      </w:r>
      <w:r>
        <w:rPr>
          <w:rFonts w:ascii="Calibri" w:hAnsi="Calibri"/>
          <w:b w:val="0"/>
          <w:i w:val="0"/>
          <w:color w:val="1C1917"/>
          <w:sz w:val="18"/>
        </w:rPr>
        <w:t>PSR — Faster Payments APP scams mandatory reimbursement requirement (in force 7 October 2024).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[8]  </w:t>
      </w:r>
      <w:r>
        <w:rPr>
          <w:rFonts w:ascii="Calibri" w:hAnsi="Calibri"/>
          <w:b w:val="0"/>
          <w:i w:val="0"/>
          <w:color w:val="1C1917"/>
          <w:sz w:val="18"/>
        </w:rPr>
        <w:t>The Money Laundering, Terrorist Financing and Transfer of Funds (Information on the Payer) Regulations 2017 (SI 2017/692).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[9]  </w:t>
      </w:r>
      <w:r>
        <w:rPr>
          <w:rFonts w:ascii="Calibri" w:hAnsi="Calibri"/>
          <w:b w:val="0"/>
          <w:i w:val="0"/>
          <w:color w:val="1C1917"/>
          <w:sz w:val="18"/>
        </w:rPr>
        <w:t>Regulation (EU) 2015/847 on information accompanying transfers of funds (the Funds Transfer Regulation), as retained in UK law.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[10]  </w:t>
      </w:r>
      <w:r>
        <w:rPr>
          <w:rFonts w:ascii="Calibri" w:hAnsi="Calibri"/>
          <w:b w:val="0"/>
          <w:i w:val="0"/>
          <w:color w:val="1C1917"/>
          <w:sz w:val="18"/>
        </w:rPr>
        <w:t>FCA Handbook — Dispute Resolution: Complaints (DISP); the Financial Ombudsman Service.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[11]  </w:t>
      </w:r>
      <w:r>
        <w:rPr>
          <w:rFonts w:ascii="Calibri" w:hAnsi="Calibri"/>
          <w:b w:val="0"/>
          <w:i w:val="0"/>
          <w:color w:val="1C1917"/>
          <w:sz w:val="18"/>
        </w:rPr>
        <w:t>FCA Handbook — Banking: Conduct of Business Sourcebook (BCOBS).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[12]  </w:t>
      </w:r>
      <w:r>
        <w:rPr>
          <w:rFonts w:ascii="Calibri" w:hAnsi="Calibri"/>
          <w:b w:val="0"/>
          <w:i w:val="0"/>
          <w:color w:val="1C1917"/>
          <w:sz w:val="18"/>
        </w:rPr>
        <w:t>FCA Handbook — Senior Management Arrangements, Systems and Controls (SYSC 9 record-keeping); the Senior Managers and Certification Regime (SM&amp;CR).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[13]  </w:t>
      </w:r>
      <w:r>
        <w:rPr>
          <w:rFonts w:ascii="Calibri" w:hAnsi="Calibri"/>
          <w:b w:val="0"/>
          <w:i w:val="0"/>
          <w:color w:val="1C1917"/>
          <w:sz w:val="18"/>
        </w:rPr>
        <w:t>Consumer Credit Act 1974.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[14]  </w:t>
      </w:r>
      <w:r>
        <w:rPr>
          <w:rFonts w:ascii="Calibri" w:hAnsi="Calibri"/>
          <w:b w:val="0"/>
          <w:i w:val="0"/>
          <w:color w:val="1C1917"/>
          <w:sz w:val="18"/>
        </w:rPr>
        <w:t>HMRC — Making Tax Digital for VAT.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[15]  </w:t>
      </w:r>
      <w:r>
        <w:rPr>
          <w:rFonts w:ascii="Calibri" w:hAnsi="Calibri"/>
          <w:b w:val="0"/>
          <w:i w:val="0"/>
          <w:color w:val="1C1917"/>
          <w:sz w:val="18"/>
        </w:rPr>
        <w:t>UK GDPR and the Data Protection Act 2018 (as amended by the Data Use and Access Act 2025), Article 5(1)(c) — data minimisation and purpose limitation.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[16]  </w:t>
      </w:r>
      <w:r>
        <w:rPr>
          <w:rFonts w:ascii="Calibri" w:hAnsi="Calibri"/>
          <w:b w:val="0"/>
          <w:i w:val="0"/>
          <w:color w:val="1C1917"/>
          <w:sz w:val="18"/>
        </w:rPr>
        <w:t>W3C — Web Content Accessibility Guidelines (WCAG) 2.1, Level AA.</w:t>
      </w:r>
    </w:p>
    <w:p>
      <w:pPr>
        <w:spacing w:after="60"/>
        <w:ind w:left="504" w:hanging="504"/>
      </w:pPr>
      <w:r>
        <w:rPr>
          <w:rFonts w:ascii="Calibri" w:hAnsi="Calibri"/>
          <w:b/>
          <w:i w:val="0"/>
          <w:color w:val="57534E"/>
          <w:sz w:val="18"/>
        </w:rPr>
        <w:t xml:space="preserve">[17]  </w:t>
      </w:r>
      <w:r>
        <w:rPr>
          <w:rFonts w:ascii="Calibri" w:hAnsi="Calibri"/>
          <w:b w:val="0"/>
          <w:i w:val="0"/>
          <w:color w:val="1C1917"/>
          <w:sz w:val="18"/>
        </w:rPr>
        <w:t>ICO — guidance on the pre-employment vetting of candidates: necessity, proportionality and data minimisation when verifying individuals (relevant to the signatory ID register).</w:t>
      </w:r>
    </w:p>
    <w:p/>
    <w:p>
      <w:r>
        <w:rPr>
          <w:rFonts w:ascii="Calibri" w:hAnsi="Calibri"/>
          <w:b w:val="0"/>
          <w:i/>
          <w:color w:val="78716C"/>
          <w:sz w:val="16"/>
        </w:rPr>
        <w:t>Concept prototype — front-end only. No backend, no live system connections, and no real customer, account or payment data. Prepared for internal discussion.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296" w:bottom="1224" w:left="129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right"/>
      </w:tabs>
    </w:pPr>
    <w:r/>
    <w:r>
      <w:rPr>
        <w:color w:val="78716C"/>
        <w:sz w:val="15"/>
      </w:rPr>
      <w:t>Alan Davidson  ·  Internal · Confidential</w:t>
    </w:r>
    <w:r>
      <w:rPr>
        <w:color w:val="78716C"/>
        <w:sz w:val="15"/>
      </w:rPr>
      <w:tab/>
      <w:t xml:space="preserve">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48" w:val="right"/>
      </w:tabs>
      <w:pBdr>
        <w:bottom w:val="single" w:sz="4" w:space="4" w:color="E7E5E4"/>
      </w:pBdr>
    </w:pPr>
    <w:r/>
    <w:r>
      <w:rPr>
        <w:color w:val="78716C"/>
        <w:sz w:val="15"/>
      </w:rPr>
      <w:t>Business Banking Concept Prototype — Technical Report</w:t>
    </w:r>
    <w:r>
      <w:rPr>
        <w:b/>
        <w:color w:val="C8102E"/>
        <w:sz w:val="15"/>
      </w:rPr>
      <w:tab/>
      <w:t>INTERNAL ·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Calibri" w:hAnsi="Calibri"/>
      <w:color w:val="1C19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