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1737360" cy="30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tander-logo-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005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200"/>
      </w:pPr>
      <w:r>
        <w:rPr>
          <w:rFonts w:ascii="Santander Text" w:hAnsi="Santander Text"/>
          <w:b/>
          <w:i w:val="0"/>
          <w:color w:val="DA291C"/>
          <w:sz w:val="18"/>
        </w:rPr>
        <w:t>INTERNAL · CONFIDENTIAL</w:t>
      </w:r>
    </w:p>
    <w:p>
      <w:pPr>
        <w:spacing w:before="0" w:after="0"/>
      </w:pPr>
      <w:r>
        <w:rPr>
          <w:rFonts w:ascii="Santander Text" w:hAnsi="Santander Text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Santander Text" w:hAnsi="Santander Text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Santander Text" w:hAnsi="Santander Text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Santander Text" w:hAnsi="Santander Text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Santander Text" w:hAnsi="Santander Text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DA291C"/>
            </w:tcBorders>
          </w:tcPr>
          <w:p>
            <w:pPr>
              <w:spacing w:after="40"/>
            </w:pPr>
            <w:r>
              <w:rPr>
                <w:rFonts w:ascii="Santander Text" w:hAnsi="Santander Text"/>
                <w:b/>
                <w:i w:val="0"/>
                <w:color w:val="DA291C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Santander Text" w:hAnsi="Santander Text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Santander Text" w:hAnsi="Santander Text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Santander Text" w:hAnsi="Santander Text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data-protection references reflect the UK regime as reshaped by the Data (Use and Access) Act 2025, whose data-protection and PECR provisions are now in force — the principal Part 5 reforms from 5 February 2026 and the data-subject complaints-handling duty from 19 June 2026 [15]. A production build would need to reflect that settled position — including the regulator's reconstitution as the Information Commission — as configurable policy rather than fixed assumptions.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DA291C"/>
            </w:tcBorders>
          </w:tcPr>
          <w:p>
            <w:pPr>
              <w:spacing w:after="40"/>
            </w:pPr>
            <w:r>
              <w:rPr>
                <w:rFonts w:ascii="Santander Text" w:hAnsi="Santander Text"/>
                <w:b/>
                <w:i w:val="0"/>
                <w:color w:val="DA291C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Santander Text" w:hAnsi="Santander Text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Santander Text" w:hAnsi="Santander Text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DA291C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[1]  </w:t>
      </w:r>
      <w:r>
        <w:rPr>
          <w:rFonts w:ascii="Santander Text" w:hAnsi="Santander Text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[2]  </w:t>
      </w:r>
      <w:r>
        <w:rPr>
          <w:rFonts w:ascii="Santander Text" w:hAnsi="Santander Text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[3]  </w:t>
      </w:r>
      <w:r>
        <w:rPr>
          <w:rFonts w:ascii="Santander Text" w:hAnsi="Santander Text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[4]  </w:t>
      </w:r>
      <w:r>
        <w:rPr>
          <w:rFonts w:ascii="Santander Text" w:hAnsi="Santander Text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[5]  </w:t>
      </w:r>
      <w:r>
        <w:rPr>
          <w:rFonts w:ascii="Santander Text" w:hAnsi="Santander Text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[6]  </w:t>
      </w:r>
      <w:r>
        <w:rPr>
          <w:rFonts w:ascii="Santander Text" w:hAnsi="Santander Text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[7]  </w:t>
      </w:r>
      <w:r>
        <w:rPr>
          <w:rFonts w:ascii="Santander Text" w:hAnsi="Santander Text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[8]  </w:t>
      </w:r>
      <w:r>
        <w:rPr>
          <w:rFonts w:ascii="Santander Text" w:hAnsi="Santander Text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[9]  </w:t>
      </w:r>
      <w:r>
        <w:rPr>
          <w:rFonts w:ascii="Santander Text" w:hAnsi="Santander Text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[10]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[11]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[12]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[13]  </w:t>
      </w:r>
      <w:r>
        <w:rPr>
          <w:rFonts w:ascii="Santander Text" w:hAnsi="Santander Text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[14]  </w:t>
      </w:r>
      <w:r>
        <w:rPr>
          <w:rFonts w:ascii="Santander Text" w:hAnsi="Santander Text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[15]  </w:t>
      </w:r>
      <w:r>
        <w:rPr>
          <w:rFonts w:ascii="Santander Text" w:hAnsi="Santander Text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[16]  </w:t>
      </w:r>
      <w:r>
        <w:rPr>
          <w:rFonts w:ascii="Santander Text" w:hAnsi="Santander Text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[17]  </w:t>
      </w:r>
      <w:r>
        <w:rPr>
          <w:rFonts w:ascii="Santander Text" w:hAnsi="Santander Text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Santander Text" w:hAnsi="Santander Text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DA291C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Santander Text" w:hAnsi="Santander Text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