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C8102E"/>
          <w:sz w:val="18"/>
        </w:rPr>
        <w:t>INTERNAL · CONFIDENTIAL</w:t>
      </w:r>
    </w:p>
    <w:p>
      <w:pPr>
        <w:spacing w:after="0"/>
      </w:pPr>
      <w:r>
        <w:rPr>
          <w:b/>
          <w:color w:val="1C1917"/>
          <w:sz w:val="56"/>
        </w:rPr>
        <w:t>Paperless Business Banking</w:t>
      </w:r>
    </w:p>
    <w:p>
      <w:r>
        <w:rPr>
          <w:color w:val="57534E"/>
          <w:sz w:val="36"/>
        </w:rPr>
        <w:t>Position Paper</w:t>
      </w:r>
    </w:p>
    <w:p>
      <w:r>
        <w:rPr>
          <w:i/>
          <w:color w:val="78716C"/>
          <w:sz w:val="22"/>
        </w:rPr>
        <w:t>The case for compliant, self-serve, paperless service journeys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  <w:color w:val="57534E"/>
                <w:sz w:val="18"/>
              </w:rPr>
              <w:t>Author</w:t>
            </w:r>
          </w:p>
        </w:tc>
        <w:tc>
          <w:tcPr>
            <w:tcW w:type="dxa" w:w="4320"/>
          </w:tcPr>
          <w:p>
            <w:r>
              <w:rPr>
                <w:color w:val="1C1917"/>
                <w:sz w:val="18"/>
              </w:rPr>
              <w:t>Alan Davidson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57534E"/>
                <w:sz w:val="18"/>
              </w:rPr>
              <w:t>Prepared</w:t>
            </w:r>
          </w:p>
        </w:tc>
        <w:tc>
          <w:tcPr>
            <w:tcW w:type="dxa" w:w="4320"/>
          </w:tcPr>
          <w:p>
            <w:r>
              <w:rPr>
                <w:color w:val="1C1917"/>
                <w:sz w:val="18"/>
              </w:rPr>
              <w:t>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57534E"/>
                <w:sz w:val="18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color w:val="1C1917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57534E"/>
                <w:sz w:val="18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color w:val="1C1917"/>
                <w:sz w:val="18"/>
              </w:rPr>
              <w:t>Position paper — internal discussion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color w:val="C8102E"/>
          <w:sz w:val="16"/>
        </w:rPr>
        <w:t>POSITION IN BRIEF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1  Our position</w:t>
      </w:r>
    </w:p>
    <w:p>
      <w:r>
        <w:rPr>
          <w:color w:val="1C1917"/>
          <w:sz w:val="21"/>
        </w:rPr>
        <w:t>Business-banking service events that still rely on paper and branch visits should be re-imagined as guided, self-serve, digitally-signed journeys inside the banking app — with the regulatory controls built into the flow. Doing so reduces cost and delay, improves the customer experience, and can strengthen compliance by making every check explicit, consistent and logged.</w:t>
      </w:r>
    </w:p>
    <w:p>
      <w:r>
        <w:rPr>
          <w:color w:val="1C1917"/>
          <w:sz w:val="21"/>
        </w:rPr>
        <w:t>This paper sets out the argument and points to a working front-end prototype that makes it concrete.</w:t>
      </w:r>
    </w:p>
    <w:p>
      <w:pPr>
        <w:spacing w:after="20"/>
      </w:pPr>
      <w:r>
        <w:rPr>
          <w:b/>
          <w:color w:val="C8102E"/>
          <w:sz w:val="16"/>
        </w:rPr>
        <w:t>THE PROBLEM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2  Paper is still in the critical path</w:t>
      </w:r>
    </w:p>
    <w:p>
      <w:r>
        <w:rPr>
          <w:color w:val="1C1917"/>
          <w:sz w:val="21"/>
        </w:rPr>
        <w:t>Across mandates, payments, closures, disputes and onboarding, too many journeys still depend on posted forms, wet-ink signatures, faxed details and branch visits. The cost is measured in days of delay, operational handling, error and rework — and in a customer experience that lags the rest of digital banking.</w:t>
      </w:r>
    </w:p>
    <w:p>
      <w:pPr>
        <w:pStyle w:val="ListBullet"/>
        <w:spacing w:after="40"/>
      </w:pPr>
      <w:r>
        <w:rPr>
          <w:color w:val="1C1917"/>
          <w:sz w:val="21"/>
        </w:rPr>
        <w:t>Delay: postal round-trips and manual processing stretch simple changes into days.</w:t>
      </w:r>
    </w:p>
    <w:p>
      <w:pPr>
        <w:pStyle w:val="ListBullet"/>
        <w:spacing w:after="40"/>
      </w:pPr>
      <w:r>
        <w:rPr>
          <w:color w:val="1C1917"/>
          <w:sz w:val="21"/>
        </w:rPr>
        <w:t>Cost: paper handling, re-keying and exception management carry real operational expense.</w:t>
      </w:r>
    </w:p>
    <w:p>
      <w:pPr>
        <w:pStyle w:val="ListBullet"/>
        <w:spacing w:after="40"/>
      </w:pPr>
      <w:r>
        <w:rPr>
          <w:color w:val="1C1917"/>
          <w:sz w:val="21"/>
        </w:rPr>
        <w:t>Risk: manual steps introduce error and inconsistent application of controls.</w:t>
      </w:r>
    </w:p>
    <w:p>
      <w:pPr>
        <w:pStyle w:val="ListBullet"/>
        <w:spacing w:after="40"/>
      </w:pPr>
      <w:r>
        <w:rPr>
          <w:color w:val="1C1917"/>
          <w:sz w:val="21"/>
        </w:rPr>
        <w:t>Experience: business customers expect to self-serve, at any hour, from any device.</w:t>
      </w:r>
    </w:p>
    <w:p>
      <w:pPr>
        <w:spacing w:after="20"/>
      </w:pPr>
      <w:r>
        <w:rPr>
          <w:b/>
          <w:color w:val="C8102E"/>
          <w:sz w:val="16"/>
        </w:rPr>
        <w:t>THE OPPORTUNITY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3  Compliant self-serve, paperless by default</w:t>
      </w:r>
    </w:p>
    <w:p>
      <w:r>
        <w:rPr>
          <w:color w:val="1C1917"/>
          <w:sz w:val="21"/>
        </w:rPr>
        <w:t>The controls these journeys require — identity verification, authorisation to the correct mandate, confirmation of payee, sanctions and PEP screening, cooling-off, audit — are precisely the things software does consistently and at scale. Expressed inside the workflow, they become an enabler of a better experience rather than a reason to keep paper.</w:t>
      </w:r>
    </w:p>
    <w:p>
      <w:pPr>
        <w:spacing w:after="20"/>
      </w:pPr>
      <w:r>
        <w:rPr>
          <w:b/>
          <w:color w:val="C8102E"/>
          <w:sz w:val="16"/>
        </w:rPr>
        <w:t>WHY NOW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4  The timing case</w:t>
      </w:r>
    </w:p>
    <w:p>
      <w:pPr>
        <w:pStyle w:val="ListBullet"/>
        <w:spacing w:after="40"/>
      </w:pPr>
      <w:r>
        <w:rPr>
          <w:color w:val="1C1917"/>
          <w:sz w:val="21"/>
        </w:rPr>
        <w:t>Regulatory expectations (Consumer Duty, SCA, APP-fraud reimbursement) reward controls that are consistent and evidenced.</w:t>
      </w:r>
    </w:p>
    <w:p>
      <w:pPr>
        <w:pStyle w:val="ListBullet"/>
        <w:spacing w:after="40"/>
      </w:pPr>
      <w:r>
        <w:rPr>
          <w:color w:val="1C1917"/>
          <w:sz w:val="21"/>
        </w:rPr>
        <w:t>Business customers increasingly expect parity with the best consumer digital experiences.</w:t>
      </w:r>
    </w:p>
    <w:p>
      <w:pPr>
        <w:pStyle w:val="ListBullet"/>
        <w:spacing w:after="40"/>
      </w:pPr>
      <w:r>
        <w:rPr>
          <w:color w:val="1C1917"/>
          <w:sz w:val="21"/>
        </w:rPr>
        <w:t>Confirmation of Payee, digital identity and strong authentication are now mature, reusable building blocks.</w:t>
      </w:r>
    </w:p>
    <w:p>
      <w:pPr>
        <w:spacing w:after="20"/>
      </w:pPr>
      <w:r>
        <w:rPr>
          <w:b/>
          <w:color w:val="C8102E"/>
          <w:sz w:val="16"/>
        </w:rPr>
        <w:t>EVIDENCE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5  What the prototype demonstrates</w:t>
      </w:r>
    </w:p>
    <w:p>
      <w:r>
        <w:rPr>
          <w:color w:val="1C1917"/>
          <w:sz w:val="21"/>
        </w:rPr>
        <w:t>A front-end concept prototype implements 17 paperless journeys across 7 business entity types, each replacing a specific paper or branch process and surfacing its regulatory controls in the experience — from mandate changes and bulk payments to disputes, cross-border beneficiary onboarding, balance certificates and device/session management. It is a clickable articulation of the position, not a production system.</w:t>
      </w:r>
    </w:p>
    <w:p>
      <w:pPr>
        <w:spacing w:after="20"/>
      </w:pPr>
      <w:r>
        <w:rPr>
          <w:b/>
          <w:color w:val="C8102E"/>
          <w:sz w:val="16"/>
        </w:rPr>
        <w:t>BENEFITS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6  Who benefits, and how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C1917"/>
          </w:tcPr>
          <w:p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6624"/>
            <w:shd w:val="clear" w:fill="1C1917"/>
          </w:tcPr>
          <w:p>
            <w:r>
              <w:rPr>
                <w:b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color w:val="1C1917"/>
                <w:sz w:val="18"/>
              </w:rPr>
              <w:t>Customer</w:t>
            </w:r>
          </w:p>
        </w:tc>
        <w:tc>
          <w:tcPr>
            <w:tcW w:type="dxa" w:w="6624"/>
          </w:tcPr>
          <w:p>
            <w:r>
              <w:rPr>
                <w:color w:val="1C1917"/>
                <w:sz w:val="18"/>
              </w:rPr>
              <w:t>Faster outcomes, self-serve at any time, clear status, fewer branch visits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color w:val="1C1917"/>
                <w:sz w:val="18"/>
              </w:rPr>
              <w:t>Bank</w:t>
            </w:r>
          </w:p>
        </w:tc>
        <w:tc>
          <w:tcPr>
            <w:tcW w:type="dxa" w:w="6624"/>
          </w:tcPr>
          <w:p>
            <w:r>
              <w:rPr>
                <w:color w:val="1C1917"/>
                <w:sz w:val="18"/>
              </w:rPr>
              <w:t>Lower handling cost, fewer exceptions, consistent control application, stronger audit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color w:val="1C1917"/>
                <w:sz w:val="18"/>
              </w:rPr>
              <w:t>Regulatory</w:t>
            </w:r>
          </w:p>
        </w:tc>
        <w:tc>
          <w:tcPr>
            <w:tcW w:type="dxa" w:w="6624"/>
          </w:tcPr>
          <w:p>
            <w:r>
              <w:rPr>
                <w:color w:val="1C1917"/>
                <w:sz w:val="18"/>
              </w:rPr>
              <w:t>Controls made explicit and logged; fair-treatment and cooling-off handled by design</w:t>
            </w:r>
          </w:p>
        </w:tc>
      </w:tr>
    </w:tbl>
    <w:p>
      <w:pPr>
        <w:spacing w:after="20"/>
      </w:pPr>
      <w:r>
        <w:rPr>
          <w:b/>
          <w:color w:val="C8102E"/>
          <w:sz w:val="16"/>
        </w:rPr>
        <w:t>RISKS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7  Risks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1C1917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6192"/>
            <w:shd w:val="clear" w:fill="1C1917"/>
          </w:tcPr>
          <w:p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1C1917"/>
                <w:sz w:val="18"/>
              </w:rPr>
              <w:t>Digital exclusion</w:t>
            </w:r>
          </w:p>
        </w:tc>
        <w:tc>
          <w:tcPr>
            <w:tcW w:type="dxa" w:w="6192"/>
          </w:tcPr>
          <w:p>
            <w:r>
              <w:rPr>
                <w:color w:val="1C1917"/>
                <w:sz w:val="18"/>
              </w:rPr>
              <w:t>Retain assisted and non-digital routes; design for accessibility (WCAG AA).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1C1917"/>
                <w:sz w:val="18"/>
              </w:rPr>
              <w:t>Fraud / social engineering</w:t>
            </w:r>
          </w:p>
        </w:tc>
        <w:tc>
          <w:tcPr>
            <w:tcW w:type="dxa" w:w="6192"/>
          </w:tcPr>
          <w:p>
            <w:r>
              <w:rPr>
                <w:color w:val="1C1917"/>
                <w:sz w:val="18"/>
              </w:rPr>
              <w:t>Strong authentication, Confirmation of Payee, screening, and cooling-off windows.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1C1917"/>
                <w:sz w:val="18"/>
              </w:rPr>
              <w:t>Regulatory change</w:t>
            </w:r>
          </w:p>
        </w:tc>
        <w:tc>
          <w:tcPr>
            <w:tcW w:type="dxa" w:w="6192"/>
          </w:tcPr>
          <w:p>
            <w:r>
              <w:rPr>
                <w:color w:val="1C1917"/>
                <w:sz w:val="18"/>
              </w:rPr>
              <w:t>Model controls as configurable policy rather than hard-coded logic.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1C1917"/>
                <w:sz w:val="18"/>
              </w:rPr>
              <w:t>Adoption</w:t>
            </w:r>
          </w:p>
        </w:tc>
        <w:tc>
          <w:tcPr>
            <w:tcW w:type="dxa" w:w="6192"/>
          </w:tcPr>
          <w:p>
            <w:r>
              <w:rPr>
                <w:color w:val="1C1917"/>
                <w:sz w:val="18"/>
              </w:rPr>
              <w:t>Validate journeys with customer research before scaling; prioritise highest-value flows.</w:t>
            </w:r>
          </w:p>
        </w:tc>
      </w:tr>
    </w:tbl>
    <w:p>
      <w:pPr>
        <w:spacing w:after="20"/>
      </w:pPr>
      <w:r>
        <w:rPr>
          <w:b/>
          <w:color w:val="C8102E"/>
          <w:sz w:val="16"/>
        </w:rPr>
        <w:t>RECOMMENDATION</w:t>
      </w:r>
    </w:p>
    <w:p>
      <w:pPr>
        <w:spacing w:before="320" w:after="80"/>
        <w:pBdr>
          <w:bottom w:val="single" w:sz="6" w:space="4" w:color="E7E5E4"/>
        </w:pBdr>
      </w:pPr>
      <w:r>
        <w:rPr>
          <w:b/>
          <w:color w:val="1C1917"/>
          <w:sz w:val="30"/>
        </w:rPr>
        <w:t>8  Recommendation</w:t>
      </w:r>
    </w:p>
    <w:p>
      <w:pPr>
        <w:pStyle w:val="ListBullet"/>
        <w:spacing w:after="40"/>
      </w:pPr>
      <w:r>
        <w:rPr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40"/>
      </w:pPr>
      <w:r>
        <w:rPr>
          <w:color w:val="1C1917"/>
          <w:sz w:val="21"/>
        </w:rPr>
        <w:t>Select a small set of highest-value journeys for a backend-integrated pilot.</w:t>
      </w:r>
    </w:p>
    <w:p>
      <w:pPr>
        <w:pStyle w:val="ListBullet"/>
        <w:spacing w:after="40"/>
      </w:pPr>
      <w:r>
        <w:rPr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40"/>
      </w:pPr>
      <w:r>
        <w:rPr>
          <w:color w:val="1C1917"/>
          <w:sz w:val="21"/>
        </w:rPr>
        <w:t>Define production integration, security and data-protection requirements in parallel.</w:t>
      </w:r>
    </w:p>
    <w:p/>
    <w:p>
      <w:r>
        <w:rPr>
          <w:i/>
          <w:color w:val="78716C"/>
          <w:sz w:val="16"/>
        </w:rPr>
        <w:t>Prototype only — no backend, no real data, no live system connections. Prepared for internal discussion.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