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187"/>
      </w:tblGrid>
      <w:tr>
        <w:tc>
          <w:tcPr>
            <w:tcW w:type="dxa" w:w="9187"/>
            <w:shd w:val="clear" w:fill="1A1A1A"/>
          </w:tcPr>
          <w:p>
            <w:pPr>
              <w:spacing w:after="0" w:before="0"/>
              <w:jc w:val="center"/>
            </w:pPr>
            <w:r>
              <w:rPr>
                <w:rFonts w:ascii="Calibri" w:hAnsi="Calibri"/>
                <w:b/>
                <w:color w:val="FFFFFF"/>
                <w:sz w:val="18"/>
              </w:rPr>
              <w:t>INTERNAL · CONFIDENTIAL</w:t>
            </w:r>
          </w:p>
        </w:tc>
      </w:tr>
    </w:tbl>
    <w:p>
      <w:pPr>
        <w:spacing w:before="200" w:after="80"/>
        <w:jc w:val="left"/>
      </w:pPr>
      <w:r>
        <w:rPr>
          <w:rFonts w:ascii="Calibri" w:hAnsi="Calibri"/>
          <w:b/>
          <w:i w:val="0"/>
          <w:color w:val="1A1A1A"/>
          <w:sz w:val="36"/>
        </w:rPr>
        <w:t>Beyond Business Banking: Applications, Adjacent Segments and Cross-Division Relevance of a Paperless, Compliance-Embedded Workflow Prototype</w:t>
      </w:r>
    </w:p>
    <w:p>
      <w:pPr>
        <w:spacing w:before="0" w:after="0"/>
        <w:jc w:val="left"/>
      </w:pPr>
      <w:r>
        <w:rPr>
          <w:rFonts w:ascii="Calibri" w:hAnsi="Calibri"/>
          <w:b/>
          <w:i w:val="0"/>
          <w:color w:val="1A1A1A"/>
          <w:sz w:val="22"/>
        </w:rPr>
        <w:t>Alan Davidson</w:t>
      </w:r>
    </w:p>
    <w:p>
      <w:pPr>
        <w:spacing w:before="0" w:after="0"/>
        <w:jc w:val="left"/>
      </w:pPr>
      <w:r>
        <w:rPr>
          <w:rFonts w:ascii="Calibri" w:hAnsi="Calibri"/>
          <w:b w:val="0"/>
          <w:i w:val="0"/>
          <w:color w:val="666666"/>
          <w:sz w:val="20"/>
        </w:rPr>
        <w:t>Santander Business Banking</w:t>
      </w:r>
    </w:p>
    <w:p>
      <w:pPr>
        <w:spacing w:before="0" w:after="200"/>
        <w:jc w:val="left"/>
      </w:pPr>
      <w:r>
        <w:rPr>
          <w:rFonts w:ascii="Calibri" w:hAnsi="Calibri"/>
          <w:b w:val="0"/>
          <w:i/>
          <w:color w:val="C8102E"/>
          <w:sz w:val="20"/>
        </w:rPr>
        <w:t>Position Paper · June 2026</w:t>
      </w:r>
    </w:p>
    <w:tbl>
      <w:tblPr>
        <w:tblW w:type="auto" w:w="0"/>
        <w:tblLook w:firstColumn="1" w:firstRow="1" w:lastColumn="0" w:lastRow="0" w:noHBand="0" w:noVBand="1" w:val="04A0"/>
      </w:tblPr>
      <w:tblGrid>
        <w:gridCol w:w="9187"/>
      </w:tblGrid>
      <w:tr>
        <w:tc>
          <w:tcPr>
            <w:tcW w:type="dxa" w:w="9187"/>
            <w:shd w:val="clear" w:fill="F7F2F0"/>
            <w:tcBorders>
              <w:left w:val="single" w:sz="18" w:space="0" w:color="C8102E"/>
            </w:tcBorders>
          </w:tcPr>
          <w:p>
            <w:pPr>
              <w:spacing w:after="40"/>
            </w:pPr>
            <w:r>
              <w:rPr>
                <w:rFonts w:ascii="Calibri" w:hAnsi="Calibri"/>
                <w:b/>
                <w:color w:val="1A1A1A"/>
                <w:sz w:val="20"/>
              </w:rPr>
              <w:t xml:space="preserve">Summary.  </w:t>
            </w:r>
            <w:r>
              <w:rPr>
                <w:rFonts w:ascii="Calibri" w:hAnsi="Calibri"/>
                <w:color w:val="1A1A1A"/>
                <w:sz w:val="20"/>
              </w:rPr>
              <w:t>The Business Banking prototype demonstrates paperless equivalents of branch- and post-based processes, with the governing regulatory control embedded in each workflow and every action written to an immutable audit trail. This paper argues the approach is not specific to business banking. Stripped of its business-banking framing, the prototype is a pattern for turning any regulated, evidence-bearing customer or operational process into a guided, self-serve digital workflow. It names the three conditions under which the pattern pays off, then maps it — obligation by obligation — onto adjacent Santander segments and wider financial-services settings. Claims about the prototype are drawn from its own build and verification record; claims about an obligation refer only to named, publicly established regulation; and the link between them is presented as a reasoned structural mapping, not a promise of a finished product.</w:t>
            </w:r>
          </w:p>
        </w:tc>
      </w:tr>
    </w:tbl>
    <w:p>
      <w:pPr>
        <w:spacing w:before="0" w:after="160"/>
        <w:jc w:val="left"/>
      </w:pPr>
      <w:r>
        <w:rPr>
          <w:rFonts w:ascii="Calibri" w:hAnsi="Calibri"/>
          <w:b w:val="0"/>
          <w:i/>
          <w:color w:val="666666"/>
          <w:sz w:val="18"/>
        </w:rPr>
        <w:t>Keywords: paperless workflows; embedded compliance; audit trail; Consumer Duty; self-serve banking; process digitisation; SCA; accessibility; cross-segment applicability.</w:t>
      </w:r>
    </w:p>
    <w:p>
      <w:pPr>
        <w:spacing w:before="280" w:after="80"/>
        <w:pBdr>
          <w:bottom w:val="single" w:sz="6" w:space="4" w:color="C8102E"/>
        </w:pBdr>
      </w:pPr>
      <w:r>
        <w:rPr>
          <w:rFonts w:ascii="Calibri" w:hAnsi="Calibri"/>
          <w:b/>
          <w:color w:val="1A1A1A"/>
          <w:sz w:val="28"/>
        </w:rPr>
        <w:t>1 Executive summary</w:t>
      </w:r>
    </w:p>
    <w:p>
      <w:pPr>
        <w:spacing w:before="0" w:after="120"/>
        <w:jc w:val="left"/>
      </w:pPr>
      <w:r>
        <w:rPr>
          <w:rFonts w:ascii="Calibri" w:hAnsi="Calibri"/>
          <w:b w:val="0"/>
          <w:i w:val="0"/>
          <w:color w:val="1A1A1A"/>
          <w:sz w:val="21"/>
        </w:rPr>
        <w:t>Most regulated customer processes still carry paper, branch visits or manual back-office steps — and every one of them must be evidenced to a regulator, auditor or the customer themselves. The Business Banking prototype shows that such a process can instead be a guided digital workflow in which the control (authorisation, cooling-off, Confirmation of Payee, complaint handling) is part of the flow, and every step is logged. The value is not the specific workflows; it is the pattern.</w:t>
      </w:r>
    </w:p>
    <w:p>
      <w:pPr>
        <w:spacing w:before="0" w:after="120"/>
        <w:jc w:val="left"/>
      </w:pPr>
      <w:r>
        <w:rPr>
          <w:rFonts w:ascii="Calibri" w:hAnsi="Calibri"/>
          <w:b w:val="0"/>
          <w:i w:val="0"/>
          <w:color w:val="1A1A1A"/>
          <w:sz w:val="21"/>
        </w:rPr>
        <w:t>This paper (i) states the standard of evidence it holds itself to (§2); (ii) summarises what the prototype verifiably is and does (§3); (iii) abstracts the general problem it solves into three conditions (§4); (iv) describes how it would be used (§5); and (v) maps the pattern onto adjacent Santander segments and the wider sector (§6). It closes with a candid statement of limits (§7).</w:t>
      </w:r>
    </w:p>
    <w:p>
      <w:pPr>
        <w:spacing w:before="280" w:after="80"/>
        <w:pBdr>
          <w:bottom w:val="single" w:sz="6" w:space="4" w:color="C8102E"/>
        </w:pBdr>
      </w:pPr>
      <w:r>
        <w:rPr>
          <w:rFonts w:ascii="Calibri" w:hAnsi="Calibri"/>
          <w:b/>
          <w:color w:val="1A1A1A"/>
          <w:sz w:val="28"/>
        </w:rPr>
        <w:t>2 Basis and scope of claims</w:t>
      </w:r>
    </w:p>
    <w:p>
      <w:pPr>
        <w:spacing w:before="0" w:after="120"/>
        <w:jc w:val="left"/>
      </w:pPr>
      <w:r>
        <w:rPr>
          <w:rFonts w:ascii="Calibri" w:hAnsi="Calibri"/>
          <w:b w:val="0"/>
          <w:i w:val="0"/>
          <w:color w:val="1A1A1A"/>
          <w:sz w:val="21"/>
        </w:rPr>
        <w:t>This paper is written to a deliberate evidentiary standard, because its value depends on being defensible rather than promotional. It contains three kinds of supportable statement:</w:t>
      </w:r>
    </w:p>
    <w:p>
      <w:pPr>
        <w:pStyle w:val="ListBullet"/>
        <w:spacing w:after="60"/>
        <w:ind w:left="397"/>
      </w:pPr>
      <w:r>
        <w:rPr>
          <w:rFonts w:ascii="Calibri" w:hAnsi="Calibri"/>
          <w:color w:val="1A1A1A"/>
          <w:sz w:val="21"/>
        </w:rPr>
        <w:t>Verified facts about the prototype — drawn from its own build and demonstration record: the workflows it renders, the controls it embeds, the audit trail it writes, and how it is deployed.</w:t>
      </w:r>
    </w:p>
    <w:p>
      <w:pPr>
        <w:pStyle w:val="ListBullet"/>
        <w:spacing w:after="60"/>
        <w:ind w:left="397"/>
      </w:pPr>
      <w:r>
        <w:rPr>
          <w:rFonts w:ascii="Calibri" w:hAnsi="Calibri"/>
          <w:color w:val="1A1A1A"/>
          <w:sz w:val="21"/>
        </w:rPr>
        <w:t>Facts about the existence and purpose of named obligations — an FCA sourcebook, a PSD2 technical standard, a Consumer Duty principle — cited as publicly established regulation.</w:t>
      </w:r>
    </w:p>
    <w:p>
      <w:pPr>
        <w:pStyle w:val="ListBullet"/>
        <w:spacing w:after="60"/>
        <w:ind w:left="397"/>
      </w:pPr>
      <w:r>
        <w:rPr>
          <w:rFonts w:ascii="Calibri" w:hAnsi="Calibri"/>
          <w:color w:val="1A1A1A"/>
          <w:sz w:val="21"/>
        </w:rPr>
        <w:t>A structural mapping between the two — a reasoned correspondence between a prototype capability and a real obligation. This is an argument of applicability, not a claim that the prototype is a certified system for that use.</w:t>
      </w:r>
    </w:p>
    <w:p>
      <w:pPr>
        <w:spacing w:before="0" w:after="120"/>
        <w:jc w:val="left"/>
      </w:pPr>
      <w:r>
        <w:rPr>
          <w:rFonts w:ascii="Calibri" w:hAnsi="Calibri"/>
          <w:b w:val="0"/>
          <w:i w:val="0"/>
          <w:color w:val="1A1A1A"/>
          <w:sz w:val="21"/>
        </w:rPr>
        <w:t>Where a segment is named in §6, the obligation cited is factual; the mapping onto it is the structural claim; and nothing here asserts that the prototype, as built, is production-ready for that segment.</w:t>
      </w:r>
    </w:p>
    <w:p>
      <w:pPr>
        <w:spacing w:before="280" w:after="80"/>
        <w:pBdr>
          <w:bottom w:val="single" w:sz="6" w:space="4" w:color="C8102E"/>
        </w:pBdr>
      </w:pPr>
      <w:r>
        <w:rPr>
          <w:rFonts w:ascii="Calibri" w:hAnsi="Calibri"/>
          <w:b/>
          <w:color w:val="1A1A1A"/>
          <w:sz w:val="28"/>
        </w:rPr>
        <w:t>3 What the prototype is</w:t>
      </w:r>
    </w:p>
    <w:p>
      <w:pPr>
        <w:spacing w:before="0" w:after="120"/>
        <w:jc w:val="left"/>
      </w:pPr>
      <w:r>
        <w:rPr>
          <w:rFonts w:ascii="Calibri" w:hAnsi="Calibri"/>
          <w:b w:val="0"/>
          <w:i w:val="0"/>
          <w:color w:val="1A1A1A"/>
          <w:sz w:val="21"/>
        </w:rPr>
        <w:t>The prototype is a single self-contained HTML file (~890 KB) that runs in any browser with no installation, no backend and no real data. It presents a business-banking app whose actions are guided workflows with embedded compliance.</w:t>
      </w:r>
    </w:p>
    <w:p>
      <w:pPr>
        <w:spacing w:before="200" w:after="60"/>
      </w:pPr>
      <w:r>
        <w:rPr>
          <w:rFonts w:ascii="Calibri" w:hAnsi="Calibri"/>
          <w:b/>
          <w:color w:val="C8102E"/>
          <w:sz w:val="23"/>
        </w:rPr>
        <w:t>3.1 Three things it does</w:t>
      </w:r>
    </w:p>
    <w:p>
      <w:pPr>
        <w:pStyle w:val="ListBullet"/>
        <w:spacing w:after="60"/>
        <w:ind w:left="397"/>
      </w:pPr>
      <w:r>
        <w:rPr>
          <w:rFonts w:ascii="Calibri" w:hAnsi="Calibri"/>
          <w:color w:val="1A1A1A"/>
          <w:sz w:val="21"/>
        </w:rPr>
        <w:t>Guides — turns a paper/branch process into a step-based workflow (thirteen today: mandates, bulk payments, closures, MTD, lending, FX, standing orders &amp; Direct Debits, complaints and more).</w:t>
      </w:r>
    </w:p>
    <w:p>
      <w:pPr>
        <w:pStyle w:val="ListBullet"/>
        <w:spacing w:after="60"/>
        <w:ind w:left="397"/>
      </w:pPr>
      <w:r>
        <w:rPr>
          <w:rFonts w:ascii="Calibri" w:hAnsi="Calibri"/>
          <w:color w:val="1A1A1A"/>
          <w:sz w:val="21"/>
        </w:rPr>
        <w:t>Controls — embeds the governing regulatory step in the flow: dual authorisation with personal-PIN signing, working-day cooling-off, Confirmation of Payee, KYC/KYB, DISP complaint handling.</w:t>
      </w:r>
    </w:p>
    <w:p>
      <w:pPr>
        <w:pStyle w:val="ListBullet"/>
        <w:spacing w:after="60"/>
        <w:ind w:left="397"/>
      </w:pPr>
      <w:r>
        <w:rPr>
          <w:rFonts w:ascii="Calibri" w:hAnsi="Calibri"/>
          <w:color w:val="1A1A1A"/>
          <w:sz w:val="21"/>
        </w:rPr>
        <w:t>Evidences — writes every action to an immutable, actor-and-timestamp audit trail aligned to FCA SYSC 9, giving the demonstrability the Senior Managers Regime expects.</w:t>
      </w:r>
    </w:p>
    <w:p>
      <w:pPr>
        <w:spacing w:before="200" w:after="60"/>
      </w:pPr>
      <w:r>
        <w:rPr>
          <w:rFonts w:ascii="Calibri" w:hAnsi="Calibri"/>
          <w:b/>
          <w:color w:val="C8102E"/>
          <w:sz w:val="23"/>
        </w:rPr>
        <w:t>3.2 Two modes, one control model</w:t>
      </w:r>
    </w:p>
    <w:p>
      <w:pPr>
        <w:spacing w:before="0" w:after="120"/>
        <w:jc w:val="left"/>
      </w:pPr>
      <w:r>
        <w:rPr>
          <w:rFonts w:ascii="Calibri" w:hAnsi="Calibri"/>
          <w:b w:val="0"/>
          <w:i w:val="0"/>
          <w:color w:val="1A1A1A"/>
          <w:sz w:val="21"/>
        </w:rPr>
        <w:t>The prototype is a demonstration; a production build would keep the same control model behind real services. Table 1 states the honest boundary between the two.</w:t>
      </w:r>
    </w:p>
    <w:tbl>
      <w:tblPr>
        <w:tblStyle w:val="TableGrid"/>
        <w:tblW w:type="auto" w:w="0"/>
        <w:jc w:val="center"/>
        <w:tblLook w:firstColumn="1" w:firstRow="1" w:lastColumn="0" w:lastRow="0" w:noHBand="0" w:noVBand="1" w:val="04A0"/>
      </w:tblPr>
      <w:tblGrid>
        <w:gridCol w:w="3062"/>
        <w:gridCol w:w="3062"/>
        <w:gridCol w:w="3062"/>
      </w:tblGrid>
      <w:tr>
        <w:tc>
          <w:tcPr>
            <w:tcW w:type="dxa" w:w="1814"/>
            <w:shd w:val="clear" w:fill="C8102E"/>
          </w:tcPr>
          <w:p>
            <w:pPr>
              <w:spacing w:after="20"/>
            </w:pPr>
            <w:r>
              <w:rPr>
                <w:rFonts w:ascii="Calibri" w:hAnsi="Calibri"/>
                <w:b/>
                <w:color w:val="FFFFFF"/>
                <w:sz w:val="17"/>
              </w:rPr>
              <w:t>Property</w:t>
            </w:r>
          </w:p>
        </w:tc>
        <w:tc>
          <w:tcPr>
            <w:tcW w:type="dxa" w:w="2778"/>
            <w:shd w:val="clear" w:fill="C8102E"/>
          </w:tcPr>
          <w:p>
            <w:pPr>
              <w:spacing w:after="20"/>
            </w:pPr>
            <w:r>
              <w:rPr>
                <w:rFonts w:ascii="Calibri" w:hAnsi="Calibri"/>
                <w:b/>
                <w:color w:val="FFFFFF"/>
                <w:sz w:val="17"/>
              </w:rPr>
              <w:t>Demonstration (today)</w:t>
            </w:r>
          </w:p>
        </w:tc>
        <w:tc>
          <w:tcPr>
            <w:tcW w:type="dxa" w:w="2948"/>
            <w:shd w:val="clear" w:fill="C8102E"/>
          </w:tcPr>
          <w:p>
            <w:pPr>
              <w:spacing w:after="20"/>
            </w:pPr>
            <w:r>
              <w:rPr>
                <w:rFonts w:ascii="Calibri" w:hAnsi="Calibri"/>
                <w:b/>
                <w:color w:val="FFFFFF"/>
                <w:sz w:val="17"/>
              </w:rPr>
              <w:t>Production path (Phase 2)</w:t>
            </w:r>
          </w:p>
        </w:tc>
      </w:tr>
      <w:tr>
        <w:tc>
          <w:tcPr>
            <w:tcW w:type="dxa" w:w="1814"/>
            <w:shd w:val="clear" w:fill="F7F7F6"/>
          </w:tcPr>
          <w:p>
            <w:pPr>
              <w:spacing w:after="20"/>
            </w:pPr>
            <w:r>
              <w:rPr>
                <w:rFonts w:ascii="Calibri" w:hAnsi="Calibri"/>
                <w:color w:val="1A1A1A"/>
                <w:sz w:val="17"/>
              </w:rPr>
              <w:t>Data</w:t>
            </w:r>
          </w:p>
        </w:tc>
        <w:tc>
          <w:tcPr>
            <w:tcW w:type="dxa" w:w="2778"/>
            <w:shd w:val="clear" w:fill="F7F7F6"/>
          </w:tcPr>
          <w:p>
            <w:pPr>
              <w:spacing w:after="20"/>
            </w:pPr>
            <w:r>
              <w:rPr>
                <w:rFonts w:ascii="Calibri" w:hAnsi="Calibri"/>
                <w:color w:val="1A1A1A"/>
                <w:sz w:val="17"/>
              </w:rPr>
              <w:t>Fictional, in-memory</w:t>
            </w:r>
          </w:p>
        </w:tc>
        <w:tc>
          <w:tcPr>
            <w:tcW w:type="dxa" w:w="2948"/>
            <w:shd w:val="clear" w:fill="F7F7F6"/>
          </w:tcPr>
          <w:p>
            <w:pPr>
              <w:spacing w:after="20"/>
            </w:pPr>
            <w:r>
              <w:rPr>
                <w:rFonts w:ascii="Calibri" w:hAnsi="Calibri"/>
                <w:color w:val="1A1A1A"/>
                <w:sz w:val="17"/>
              </w:rPr>
              <w:t>Real, from core banking / CRM</w:t>
            </w:r>
          </w:p>
        </w:tc>
      </w:tr>
      <w:tr>
        <w:tc>
          <w:tcPr>
            <w:tcW w:type="dxa" w:w="1814"/>
          </w:tcPr>
          <w:p>
            <w:pPr>
              <w:spacing w:after="20"/>
            </w:pPr>
            <w:r>
              <w:rPr>
                <w:rFonts w:ascii="Calibri" w:hAnsi="Calibri"/>
                <w:color w:val="1A1A1A"/>
                <w:sz w:val="17"/>
              </w:rPr>
              <w:t>Back-end</w:t>
            </w:r>
          </w:p>
        </w:tc>
        <w:tc>
          <w:tcPr>
            <w:tcW w:type="dxa" w:w="2778"/>
          </w:tcPr>
          <w:p>
            <w:pPr>
              <w:spacing w:after="20"/>
            </w:pPr>
            <w:r>
              <w:rPr>
                <w:rFonts w:ascii="Calibri" w:hAnsi="Calibri"/>
                <w:color w:val="1A1A1A"/>
                <w:sz w:val="17"/>
              </w:rPr>
              <w:t>None — front-end only</w:t>
            </w:r>
          </w:p>
        </w:tc>
        <w:tc>
          <w:tcPr>
            <w:tcW w:type="dxa" w:w="2948"/>
          </w:tcPr>
          <w:p>
            <w:pPr>
              <w:spacing w:after="20"/>
            </w:pPr>
            <w:r>
              <w:rPr>
                <w:rFonts w:ascii="Calibri" w:hAnsi="Calibri"/>
                <w:color w:val="1A1A1A"/>
                <w:sz w:val="17"/>
              </w:rPr>
              <w:t>Node.js services (payments, KYC, HMRC, audit)</w:t>
            </w:r>
          </w:p>
        </w:tc>
      </w:tr>
      <w:tr>
        <w:tc>
          <w:tcPr>
            <w:tcW w:type="dxa" w:w="1814"/>
            <w:shd w:val="clear" w:fill="F7F7F6"/>
          </w:tcPr>
          <w:p>
            <w:pPr>
              <w:spacing w:after="20"/>
            </w:pPr>
            <w:r>
              <w:rPr>
                <w:rFonts w:ascii="Calibri" w:hAnsi="Calibri"/>
                <w:color w:val="1A1A1A"/>
                <w:sz w:val="17"/>
              </w:rPr>
              <w:t>Controls</w:t>
            </w:r>
          </w:p>
        </w:tc>
        <w:tc>
          <w:tcPr>
            <w:tcW w:type="dxa" w:w="2778"/>
            <w:shd w:val="clear" w:fill="F7F7F6"/>
          </w:tcPr>
          <w:p>
            <w:pPr>
              <w:spacing w:after="20"/>
            </w:pPr>
            <w:r>
              <w:rPr>
                <w:rFonts w:ascii="Calibri" w:hAnsi="Calibri"/>
                <w:color w:val="1A1A1A"/>
                <w:sz w:val="17"/>
              </w:rPr>
              <w:t>Modelled in the flow</w:t>
            </w:r>
          </w:p>
        </w:tc>
        <w:tc>
          <w:tcPr>
            <w:tcW w:type="dxa" w:w="2948"/>
            <w:shd w:val="clear" w:fill="F7F7F6"/>
          </w:tcPr>
          <w:p>
            <w:pPr>
              <w:spacing w:after="20"/>
            </w:pPr>
            <w:r>
              <w:rPr>
                <w:rFonts w:ascii="Calibri" w:hAnsi="Calibri"/>
                <w:color w:val="1A1A1A"/>
                <w:sz w:val="17"/>
              </w:rPr>
              <w:t>Same flow, enforced server-side and assured</w:t>
            </w:r>
          </w:p>
        </w:tc>
      </w:tr>
      <w:tr>
        <w:tc>
          <w:tcPr>
            <w:tcW w:type="dxa" w:w="1814"/>
          </w:tcPr>
          <w:p>
            <w:pPr>
              <w:spacing w:after="20"/>
            </w:pPr>
            <w:r>
              <w:rPr>
                <w:rFonts w:ascii="Calibri" w:hAnsi="Calibri"/>
                <w:color w:val="1A1A1A"/>
                <w:sz w:val="17"/>
              </w:rPr>
              <w:t>Audit trail</w:t>
            </w:r>
          </w:p>
        </w:tc>
        <w:tc>
          <w:tcPr>
            <w:tcW w:type="dxa" w:w="2778"/>
          </w:tcPr>
          <w:p>
            <w:pPr>
              <w:spacing w:after="20"/>
            </w:pPr>
            <w:r>
              <w:rPr>
                <w:rFonts w:ascii="Calibri" w:hAnsi="Calibri"/>
                <w:color w:val="1A1A1A"/>
                <w:sz w:val="17"/>
              </w:rPr>
              <w:t>In-session, illustrative</w:t>
            </w:r>
          </w:p>
        </w:tc>
        <w:tc>
          <w:tcPr>
            <w:tcW w:type="dxa" w:w="2948"/>
          </w:tcPr>
          <w:p>
            <w:pPr>
              <w:spacing w:after="20"/>
            </w:pPr>
            <w:r>
              <w:rPr>
                <w:rFonts w:ascii="Calibri" w:hAnsi="Calibri"/>
                <w:color w:val="1A1A1A"/>
                <w:sz w:val="17"/>
              </w:rPr>
              <w:t>Append-only store, 7-year retention (SYSC 9)</w:t>
            </w:r>
          </w:p>
        </w:tc>
      </w:tr>
      <w:tr>
        <w:tc>
          <w:tcPr>
            <w:tcW w:type="dxa" w:w="1814"/>
            <w:shd w:val="clear" w:fill="F7F7F6"/>
          </w:tcPr>
          <w:p>
            <w:pPr>
              <w:spacing w:after="20"/>
            </w:pPr>
            <w:r>
              <w:rPr>
                <w:rFonts w:ascii="Calibri" w:hAnsi="Calibri"/>
                <w:color w:val="1A1A1A"/>
                <w:sz w:val="17"/>
              </w:rPr>
              <w:t>Assurance</w:t>
            </w:r>
          </w:p>
        </w:tc>
        <w:tc>
          <w:tcPr>
            <w:tcW w:type="dxa" w:w="2778"/>
            <w:shd w:val="clear" w:fill="F7F7F6"/>
          </w:tcPr>
          <w:p>
            <w:pPr>
              <w:spacing w:after="20"/>
            </w:pPr>
            <w:r>
              <w:rPr>
                <w:rFonts w:ascii="Calibri" w:hAnsi="Calibri"/>
                <w:color w:val="1A1A1A"/>
                <w:sz w:val="17"/>
              </w:rPr>
              <w:t>Design demonstration</w:t>
            </w:r>
          </w:p>
        </w:tc>
        <w:tc>
          <w:tcPr>
            <w:tcW w:type="dxa" w:w="2948"/>
            <w:shd w:val="clear" w:fill="F7F7F6"/>
          </w:tcPr>
          <w:p>
            <w:pPr>
              <w:spacing w:after="20"/>
            </w:pPr>
            <w:r>
              <w:rPr>
                <w:rFonts w:ascii="Calibri" w:hAnsi="Calibri"/>
                <w:color w:val="1A1A1A"/>
                <w:sz w:val="17"/>
              </w:rPr>
              <w:t>Controlled, tested, independently assured</w:t>
            </w:r>
          </w:p>
        </w:tc>
      </w:tr>
      <w:tr>
        <w:tc>
          <w:tcPr>
            <w:tcW w:type="dxa" w:w="1814"/>
          </w:tcPr>
          <w:p>
            <w:pPr>
              <w:spacing w:after="20"/>
            </w:pPr>
            <w:r>
              <w:rPr>
                <w:rFonts w:ascii="Calibri" w:hAnsi="Calibri"/>
                <w:color w:val="1A1A1A"/>
                <w:sz w:val="17"/>
              </w:rPr>
              <w:t>Cost / reach</w:t>
            </w:r>
          </w:p>
        </w:tc>
        <w:tc>
          <w:tcPr>
            <w:tcW w:type="dxa" w:w="2778"/>
          </w:tcPr>
          <w:p>
            <w:pPr>
              <w:spacing w:after="20"/>
            </w:pPr>
            <w:r>
              <w:rPr>
                <w:rFonts w:ascii="Calibri" w:hAnsi="Calibri"/>
                <w:color w:val="1A1A1A"/>
                <w:sz w:val="17"/>
              </w:rPr>
              <w:t>Free, runs anywhere</w:t>
            </w:r>
          </w:p>
        </w:tc>
        <w:tc>
          <w:tcPr>
            <w:tcW w:type="dxa" w:w="2948"/>
          </w:tcPr>
          <w:p>
            <w:pPr>
              <w:spacing w:after="20"/>
            </w:pPr>
            <w:r>
              <w:rPr>
                <w:rFonts w:ascii="Calibri" w:hAnsi="Calibri"/>
                <w:color w:val="1A1A1A"/>
                <w:sz w:val="17"/>
              </w:rPr>
              <w:t>Hosted, integrated, access-controlled</w:t>
            </w:r>
          </w:p>
        </w:tc>
      </w:tr>
    </w:tbl>
    <w:p>
      <w:pPr>
        <w:spacing w:before="60" w:after="200"/>
      </w:pPr>
      <w:r>
        <w:rPr>
          <w:rFonts w:ascii="Calibri" w:hAnsi="Calibri"/>
          <w:i/>
          <w:color w:val="666666"/>
          <w:sz w:val="17"/>
        </w:rPr>
        <w:t>Table 1. The prototype demonstrates the control model; production keeps the same workflows and controls but enforces them behind real, assured services.</w:t>
      </w:r>
    </w:p>
    <w:p>
      <w:pPr>
        <w:spacing w:before="200" w:after="60"/>
      </w:pPr>
      <w:r>
        <w:rPr>
          <w:rFonts w:ascii="Calibri" w:hAnsi="Calibri"/>
          <w:b/>
          <w:color w:val="C8102E"/>
          <w:sz w:val="23"/>
        </w:rPr>
        <w:t>3.3 Deployment and rollout</w:t>
      </w:r>
    </w:p>
    <w:p>
      <w:pPr>
        <w:spacing w:before="0" w:after="120"/>
        <w:jc w:val="left"/>
      </w:pPr>
      <w:r>
        <w:rPr>
          <w:rFonts w:ascii="Calibri" w:hAnsi="Calibri"/>
          <w:b w:val="0"/>
          <w:i w:val="0"/>
          <w:color w:val="1A1A1A"/>
          <w:sz w:val="21"/>
        </w:rPr>
        <w:t>Because it is a static single file, the prototype can be shown on any device, sent to colleagues, or hosted for customer research. A production rollout would follow the graded path in Table 1, segment by segment, reusing the workflow and control patterns rather than rebuilding them.</w:t>
      </w:r>
    </w:p>
    <w:p>
      <w:pPr>
        <w:spacing w:before="280" w:after="80"/>
        <w:pBdr>
          <w:bottom w:val="single" w:sz="6" w:space="4" w:color="C8102E"/>
        </w:pBdr>
      </w:pPr>
      <w:r>
        <w:rPr>
          <w:rFonts w:ascii="Calibri" w:hAnsi="Calibri"/>
          <w:b/>
          <w:color w:val="1A1A1A"/>
          <w:sz w:val="28"/>
        </w:rPr>
        <w:t>4 The general problem the prototype solves</w:t>
      </w:r>
    </w:p>
    <w:p>
      <w:pPr>
        <w:spacing w:before="0" w:after="120"/>
        <w:jc w:val="left"/>
      </w:pPr>
      <w:r>
        <w:rPr>
          <w:rFonts w:ascii="Calibri" w:hAnsi="Calibri"/>
          <w:b w:val="0"/>
          <w:i w:val="0"/>
          <w:color w:val="1A1A1A"/>
          <w:sz w:val="21"/>
        </w:rPr>
        <w:t>Stripped of its business-banking framing, the prototype is an instrument for turning a regulated, evidence-bearing process into a guided self-serve workflow. It is valuable precisely where three conditions hold together:</w:t>
      </w:r>
    </w:p>
    <w:p>
      <w:pPr>
        <w:pStyle w:val="ListBullet"/>
        <w:spacing w:after="60"/>
        <w:ind w:left="397"/>
      </w:pPr>
      <w:r>
        <w:rPr>
          <w:rFonts w:ascii="Calibri" w:hAnsi="Calibri"/>
          <w:color w:val="1A1A1A"/>
          <w:sz w:val="21"/>
        </w:rPr>
        <w:t>A paper, branch or manual process. The task today requires a form, a visit, a phone call or a back-office hand-off that could instead be self-served.</w:t>
      </w:r>
    </w:p>
    <w:p>
      <w:pPr>
        <w:pStyle w:val="ListBullet"/>
        <w:spacing w:after="60"/>
        <w:ind w:left="397"/>
      </w:pPr>
      <w:r>
        <w:rPr>
          <w:rFonts w:ascii="Calibri" w:hAnsi="Calibri"/>
          <w:color w:val="1A1A1A"/>
          <w:sz w:val="21"/>
        </w:rPr>
        <w:t>An obligation to evidence a control. A regulator, auditor or the customer expects the organisation to show that the right check was made, by the right person, at the right time.</w:t>
      </w:r>
    </w:p>
    <w:p>
      <w:pPr>
        <w:pStyle w:val="ListBullet"/>
        <w:spacing w:after="60"/>
        <w:ind w:left="397"/>
      </w:pPr>
      <w:r>
        <w:rPr>
          <w:rFonts w:ascii="Calibri" w:hAnsi="Calibri"/>
          <w:color w:val="1A1A1A"/>
          <w:sz w:val="21"/>
        </w:rPr>
        <w:t>A driver to remove friction. Cost, speed, accessibility or Consumer-Duty good-outcome pressure makes the manual process a liability worth removing.</w:t>
      </w:r>
    </w:p>
    <w:p>
      <w:pPr>
        <w:spacing w:before="0" w:after="120"/>
        <w:jc w:val="left"/>
      </w:pPr>
      <w:r>
        <w:rPr>
          <w:rFonts w:ascii="Calibri" w:hAnsi="Calibri"/>
          <w:b w:val="0"/>
          <w:i w:val="0"/>
          <w:color w:val="1A1A1A"/>
          <w:sz w:val="21"/>
        </w:rPr>
        <w:t>Business banking satisfies all three, which is why the prototype began there. The sections that follow show that many adjacent Santander segments — and the wider sector — satisfy all three too.</w:t>
      </w:r>
    </w:p>
    <w:p>
      <w:pPr>
        <w:spacing w:before="280" w:after="80"/>
        <w:pBdr>
          <w:bottom w:val="single" w:sz="6" w:space="4" w:color="C8102E"/>
        </w:pBdr>
      </w:pPr>
      <w:r>
        <w:rPr>
          <w:rFonts w:ascii="Calibri" w:hAnsi="Calibri"/>
          <w:b/>
          <w:color w:val="1A1A1A"/>
          <w:sz w:val="28"/>
        </w:rPr>
        <w:t>5 How it would be used</w:t>
      </w:r>
    </w:p>
    <w:p>
      <w:pPr>
        <w:spacing w:before="0" w:after="120"/>
        <w:jc w:val="left"/>
      </w:pPr>
      <w:r>
        <w:rPr>
          <w:rFonts w:ascii="Calibri" w:hAnsi="Calibri"/>
          <w:b w:val="0"/>
          <w:i w:val="0"/>
          <w:color w:val="1A1A1A"/>
          <w:sz w:val="21"/>
        </w:rPr>
        <w:t>In practice the pattern is pointed at a process that today carries paper or manual steps, and it is applied in three moves:</w:t>
      </w:r>
    </w:p>
    <w:p>
      <w:pPr>
        <w:pStyle w:val="ListBullet"/>
        <w:spacing w:after="60"/>
        <w:ind w:left="397"/>
      </w:pPr>
      <w:r>
        <w:rPr>
          <w:rFonts w:ascii="Calibri" w:hAnsi="Calibri"/>
          <w:color w:val="1A1A1A"/>
          <w:sz w:val="21"/>
        </w:rPr>
        <w:t>Guide the customer or colleague through the task as a step-based workflow, forking by the circumstances that matter (entity type, signing rule, product, vulnerability).</w:t>
      </w:r>
    </w:p>
    <w:p>
      <w:pPr>
        <w:pStyle w:val="ListBullet"/>
        <w:spacing w:after="60"/>
        <w:ind w:left="397"/>
      </w:pPr>
      <w:r>
        <w:rPr>
          <w:rFonts w:ascii="Calibri" w:hAnsi="Calibri"/>
          <w:color w:val="1A1A1A"/>
          <w:sz w:val="21"/>
        </w:rPr>
        <w:t>Embed the control at the point it is needed — authorise, verify the payee, start the cooling-off, check eligibility — with the governing regulation named in the interface.</w:t>
      </w:r>
    </w:p>
    <w:p>
      <w:pPr>
        <w:pStyle w:val="ListBullet"/>
        <w:spacing w:after="60"/>
        <w:ind w:left="397"/>
      </w:pPr>
      <w:r>
        <w:rPr>
          <w:rFonts w:ascii="Calibri" w:hAnsi="Calibri"/>
          <w:color w:val="1A1A1A"/>
          <w:sz w:val="21"/>
        </w:rPr>
        <w:t>Evidence the outcome by writing each step to the audit trail, so the organisation can later show exactly what happened and why.</w:t>
      </w:r>
    </w:p>
    <w:p>
      <w:pPr>
        <w:spacing w:before="280" w:after="80"/>
        <w:pBdr>
          <w:bottom w:val="single" w:sz="6" w:space="4" w:color="C8102E"/>
        </w:pBdr>
      </w:pPr>
      <w:r>
        <w:rPr>
          <w:rFonts w:ascii="Calibri" w:hAnsi="Calibri"/>
          <w:b/>
          <w:color w:val="1A1A1A"/>
          <w:sz w:val="28"/>
        </w:rPr>
        <w:t>6 Adjacent segments and applications</w:t>
      </w:r>
    </w:p>
    <w:p>
      <w:pPr>
        <w:spacing w:before="0" w:after="120"/>
        <w:jc w:val="left"/>
      </w:pPr>
      <w:r>
        <w:rPr>
          <w:rFonts w:ascii="Calibri" w:hAnsi="Calibri"/>
          <w:b w:val="0"/>
          <w:i w:val="0"/>
          <w:color w:val="1A1A1A"/>
          <w:sz w:val="21"/>
        </w:rPr>
        <w:t>Each subsection names a real obligation or driver that creates the three conditions of §4, then maps the prototype’s pattern onto it. The obligations are factual; the mappings are structural.</w:t>
      </w:r>
    </w:p>
    <w:p>
      <w:pPr>
        <w:spacing w:before="200" w:after="60"/>
      </w:pPr>
      <w:r>
        <w:rPr>
          <w:rFonts w:ascii="Calibri" w:hAnsi="Calibri"/>
          <w:b/>
          <w:color w:val="C8102E"/>
          <w:sz w:val="23"/>
        </w:rPr>
        <w:t>6.1 Retail and everyday banking</w:t>
      </w:r>
    </w:p>
    <w:p>
      <w:pPr>
        <w:spacing w:before="0" w:after="120"/>
        <w:jc w:val="left"/>
      </w:pPr>
      <w:r>
        <w:rPr>
          <w:rFonts w:ascii="Calibri" w:hAnsi="Calibri"/>
          <w:b w:val="0"/>
          <w:i w:val="0"/>
          <w:color w:val="1A1A1A"/>
          <w:sz w:val="21"/>
        </w:rPr>
        <w:t>Everyday current-account servicing — standing orders, Direct Debits, disputes, address changes, account closures — is high-volume, still partly manual, and governed by BCOBS and the Consumer Duty. The same guided-workflow-plus-cooling-off-plus-CoP pattern applies almost unchanged.</w:t>
      </w:r>
    </w:p>
    <w:p>
      <w:pPr>
        <w:spacing w:before="200" w:after="60"/>
      </w:pPr>
      <w:r>
        <w:rPr>
          <w:rFonts w:ascii="Calibri" w:hAnsi="Calibri"/>
          <w:b/>
          <w:color w:val="C8102E"/>
          <w:sz w:val="23"/>
        </w:rPr>
        <w:t>6.2 Wealth and private banking</w:t>
      </w:r>
    </w:p>
    <w:p>
      <w:pPr>
        <w:spacing w:before="0" w:after="120"/>
        <w:jc w:val="left"/>
      </w:pPr>
      <w:r>
        <w:rPr>
          <w:rFonts w:ascii="Calibri" w:hAnsi="Calibri"/>
          <w:b w:val="0"/>
          <w:i w:val="0"/>
          <w:color w:val="1A1A1A"/>
          <w:sz w:val="21"/>
        </w:rPr>
        <w:t>Discretionary mandates, suitability and complex authorisations demand strong evidence of who approved what. The dual-authorisation, mandate and audit-trail patterns map directly onto higher-value, lower-volume wealth processes.</w:t>
      </w:r>
    </w:p>
    <w:p>
      <w:pPr>
        <w:spacing w:before="200" w:after="60"/>
      </w:pPr>
      <w:r>
        <w:rPr>
          <w:rFonts w:ascii="Calibri" w:hAnsi="Calibri"/>
          <w:b/>
          <w:color w:val="C8102E"/>
          <w:sz w:val="23"/>
        </w:rPr>
        <w:t>6.3 Corporate and commercial banking</w:t>
      </w:r>
    </w:p>
    <w:p>
      <w:pPr>
        <w:spacing w:before="0" w:after="120"/>
        <w:jc w:val="left"/>
      </w:pPr>
      <w:r>
        <w:rPr>
          <w:rFonts w:ascii="Calibri" w:hAnsi="Calibri"/>
          <w:b w:val="0"/>
          <w:i w:val="0"/>
          <w:color w:val="1A1A1A"/>
          <w:sz w:val="21"/>
        </w:rPr>
        <w:t>Larger clients bring multi-signatory mandates, treasury payments and heavier KYB. The prototype’s strictest-rule mandate engine and KYC/KYB flow scale up to corporate authorisation and onboarding.</w:t>
      </w:r>
    </w:p>
    <w:p>
      <w:pPr>
        <w:spacing w:before="200" w:after="60"/>
      </w:pPr>
      <w:r>
        <w:rPr>
          <w:rFonts w:ascii="Calibri" w:hAnsi="Calibri"/>
          <w:b/>
          <w:color w:val="C8102E"/>
          <w:sz w:val="23"/>
        </w:rPr>
        <w:t>6.4 Insurance</w:t>
      </w:r>
    </w:p>
    <w:p>
      <w:pPr>
        <w:spacing w:before="0" w:after="120"/>
        <w:jc w:val="left"/>
      </w:pPr>
      <w:r>
        <w:rPr>
          <w:rFonts w:ascii="Calibri" w:hAnsi="Calibri"/>
          <w:b w:val="0"/>
          <w:i w:val="0"/>
          <w:color w:val="1A1A1A"/>
          <w:sz w:val="21"/>
        </w:rPr>
        <w:t>Insurance conduct rules (ICOBS) and the Consumer Duty require clear, fair, evidenced customer journeys for quotes, renewals, mid-term adjustments and claims. The guided-workflow and complaint-handling patterns transfer to policy servicing and claims triage.</w:t>
      </w:r>
    </w:p>
    <w:p>
      <w:pPr>
        <w:spacing w:before="200" w:after="60"/>
      </w:pPr>
      <w:r>
        <w:rPr>
          <w:rFonts w:ascii="Calibri" w:hAnsi="Calibri"/>
          <w:b/>
          <w:color w:val="C8102E"/>
          <w:sz w:val="23"/>
        </w:rPr>
        <w:t>6.5 Mortgages and secured lending</w:t>
      </w:r>
    </w:p>
    <w:p>
      <w:pPr>
        <w:spacing w:before="0" w:after="120"/>
        <w:jc w:val="left"/>
      </w:pPr>
      <w:r>
        <w:rPr>
          <w:rFonts w:ascii="Calibri" w:hAnsi="Calibri"/>
          <w:b w:val="0"/>
          <w:i w:val="0"/>
          <w:color w:val="1A1A1A"/>
          <w:sz w:val="21"/>
        </w:rPr>
        <w:t>MCOB governs affordability, disclosure and cooling-off in mortgage sales and servicing. The pre-approved-lending flow — offer, disclosure, cooling-off rights, signed draw-down — is the same shape a mortgage or secured-lending journey needs.</w:t>
      </w:r>
    </w:p>
    <w:p>
      <w:pPr>
        <w:spacing w:before="200" w:after="60"/>
      </w:pPr>
      <w:r>
        <w:rPr>
          <w:rFonts w:ascii="Calibri" w:hAnsi="Calibri"/>
          <w:b/>
          <w:color w:val="C8102E"/>
          <w:sz w:val="23"/>
        </w:rPr>
        <w:t>6.6 Cards and payments operations</w:t>
      </w:r>
    </w:p>
    <w:p>
      <w:pPr>
        <w:spacing w:before="0" w:after="120"/>
        <w:jc w:val="left"/>
      </w:pPr>
      <w:r>
        <w:rPr>
          <w:rFonts w:ascii="Calibri" w:hAnsi="Calibri"/>
          <w:b w:val="0"/>
          <w:i w:val="0"/>
          <w:color w:val="1A1A1A"/>
          <w:sz w:val="21"/>
        </w:rPr>
        <w:t>Card disputes, chargebacks, Direct Debit indemnity claims and payment recalls are evidence-heavy and time-bound. The Confirmation-of-Payee, Direct-Debit-Guarantee and audit-trail patterns map onto payments back-office and dispute handling.</w:t>
      </w:r>
    </w:p>
    <w:p>
      <w:pPr>
        <w:spacing w:before="200" w:after="60"/>
      </w:pPr>
      <w:r>
        <w:rPr>
          <w:rFonts w:ascii="Calibri" w:hAnsi="Calibri"/>
          <w:b/>
          <w:color w:val="C8102E"/>
          <w:sz w:val="23"/>
        </w:rPr>
        <w:t>6.7 Collections, arrears and vulnerable customers</w:t>
      </w:r>
    </w:p>
    <w:p>
      <w:pPr>
        <w:spacing w:before="0" w:after="120"/>
        <w:jc w:val="left"/>
      </w:pPr>
      <w:r>
        <w:rPr>
          <w:rFonts w:ascii="Calibri" w:hAnsi="Calibri"/>
          <w:b w:val="0"/>
          <w:i w:val="0"/>
          <w:color w:val="1A1A1A"/>
          <w:sz w:val="21"/>
        </w:rPr>
        <w:t>Consumer Duty and FCA vulnerability guidance require documented, fair treatment of customers in difficulty. The prototype’s evidence-and-escalation patterns (contact logs, specialist referral, relationship-manager escalation) map onto collections and vulnerable-customer journeys.</w:t>
      </w:r>
    </w:p>
    <w:p>
      <w:pPr>
        <w:spacing w:before="200" w:after="60"/>
      </w:pPr>
      <w:r>
        <w:rPr>
          <w:rFonts w:ascii="Calibri" w:hAnsi="Calibri"/>
          <w:b/>
          <w:color w:val="C8102E"/>
          <w:sz w:val="23"/>
        </w:rPr>
        <w:t>6.8 Onboarding, KYC and financial-crime operations</w:t>
      </w:r>
    </w:p>
    <w:p>
      <w:pPr>
        <w:spacing w:before="0" w:after="120"/>
        <w:jc w:val="left"/>
      </w:pPr>
      <w:r>
        <w:rPr>
          <w:rFonts w:ascii="Calibri" w:hAnsi="Calibri"/>
          <w:b w:val="0"/>
          <w:i w:val="0"/>
          <w:color w:val="1A1A1A"/>
          <w:sz w:val="21"/>
        </w:rPr>
        <w:t>Onboarding and periodic review run on MLR 2017 / JMLSG obligations and sanctions/PEP screening. The prototype’s KYC/KYB flow (GOV.UK One Login Lists 1–3, sanctions, PEP, visa) and its fraud/APP-reimbursement framing map onto financial-crime operations.</w:t>
      </w:r>
    </w:p>
    <w:p>
      <w:pPr>
        <w:spacing w:before="200" w:after="60"/>
      </w:pPr>
      <w:r>
        <w:rPr>
          <w:rFonts w:ascii="Calibri" w:hAnsi="Calibri"/>
          <w:b/>
          <w:color w:val="C8102E"/>
          <w:sz w:val="23"/>
        </w:rPr>
        <w:t>6.9 Branch and contact-centre transformation</w:t>
      </w:r>
    </w:p>
    <w:p>
      <w:pPr>
        <w:spacing w:before="0" w:after="120"/>
        <w:jc w:val="left"/>
      </w:pPr>
      <w:r>
        <w:rPr>
          <w:rFonts w:ascii="Calibri" w:hAnsi="Calibri"/>
          <w:b w:val="0"/>
          <w:i w:val="0"/>
          <w:color w:val="1A1A1A"/>
          <w:sz w:val="21"/>
        </w:rPr>
        <w:t>Any process still handled at a counter or on a call — because it “needs a form” — is a candidate to become a guided self-serve workflow, with the same control embedded and the same audit trail produced, reducing cost and posting while improving the evidence base.</w:t>
      </w:r>
    </w:p>
    <w:tbl>
      <w:tblPr>
        <w:tblStyle w:val="TableGrid"/>
        <w:tblW w:type="auto" w:w="0"/>
        <w:jc w:val="center"/>
        <w:tblLook w:firstColumn="1" w:firstRow="1" w:lastColumn="0" w:lastRow="0" w:noHBand="0" w:noVBand="1" w:val="04A0"/>
      </w:tblPr>
      <w:tblGrid>
        <w:gridCol w:w="3062"/>
        <w:gridCol w:w="3062"/>
        <w:gridCol w:w="3062"/>
      </w:tblGrid>
      <w:tr>
        <w:tc>
          <w:tcPr>
            <w:tcW w:type="dxa" w:w="2041"/>
            <w:shd w:val="clear" w:fill="C8102E"/>
          </w:tcPr>
          <w:p>
            <w:pPr>
              <w:spacing w:after="20"/>
            </w:pPr>
            <w:r>
              <w:rPr>
                <w:rFonts w:ascii="Calibri" w:hAnsi="Calibri"/>
                <w:b/>
                <w:color w:val="FFFFFF"/>
                <w:sz w:val="17"/>
              </w:rPr>
              <w:t>Segment</w:t>
            </w:r>
          </w:p>
        </w:tc>
        <w:tc>
          <w:tcPr>
            <w:tcW w:type="dxa" w:w="2608"/>
            <w:shd w:val="clear" w:fill="C8102E"/>
          </w:tcPr>
          <w:p>
            <w:pPr>
              <w:spacing w:after="20"/>
            </w:pPr>
            <w:r>
              <w:rPr>
                <w:rFonts w:ascii="Calibri" w:hAnsi="Calibri"/>
                <w:b/>
                <w:color w:val="FFFFFF"/>
                <w:sz w:val="17"/>
              </w:rPr>
              <w:t>A real obligation / driver</w:t>
            </w:r>
          </w:p>
        </w:tc>
        <w:tc>
          <w:tcPr>
            <w:tcW w:type="dxa" w:w="2891"/>
            <w:shd w:val="clear" w:fill="C8102E"/>
          </w:tcPr>
          <w:p>
            <w:pPr>
              <w:spacing w:after="20"/>
            </w:pPr>
            <w:r>
              <w:rPr>
                <w:rFonts w:ascii="Calibri" w:hAnsi="Calibri"/>
                <w:b/>
                <w:color w:val="FFFFFF"/>
                <w:sz w:val="17"/>
              </w:rPr>
              <w:t>Prototype pattern that maps</w:t>
            </w:r>
          </w:p>
        </w:tc>
      </w:tr>
      <w:tr>
        <w:tc>
          <w:tcPr>
            <w:tcW w:type="dxa" w:w="2041"/>
            <w:shd w:val="clear" w:fill="F7F7F6"/>
          </w:tcPr>
          <w:p>
            <w:pPr>
              <w:spacing w:after="20"/>
            </w:pPr>
            <w:r>
              <w:rPr>
                <w:rFonts w:ascii="Calibri" w:hAnsi="Calibri"/>
                <w:color w:val="1A1A1A"/>
                <w:sz w:val="17"/>
              </w:rPr>
              <w:t>Retail banking</w:t>
            </w:r>
          </w:p>
        </w:tc>
        <w:tc>
          <w:tcPr>
            <w:tcW w:type="dxa" w:w="2608"/>
            <w:shd w:val="clear" w:fill="F7F7F6"/>
          </w:tcPr>
          <w:p>
            <w:pPr>
              <w:spacing w:after="20"/>
            </w:pPr>
            <w:r>
              <w:rPr>
                <w:rFonts w:ascii="Calibri" w:hAnsi="Calibri"/>
                <w:color w:val="1A1A1A"/>
                <w:sz w:val="17"/>
              </w:rPr>
              <w:t>BCOBS · Consumer Duty</w:t>
            </w:r>
          </w:p>
        </w:tc>
        <w:tc>
          <w:tcPr>
            <w:tcW w:type="dxa" w:w="2891"/>
            <w:shd w:val="clear" w:fill="F7F7F6"/>
          </w:tcPr>
          <w:p>
            <w:pPr>
              <w:spacing w:after="20"/>
            </w:pPr>
            <w:r>
              <w:rPr>
                <w:rFonts w:ascii="Calibri" w:hAnsi="Calibri"/>
                <w:color w:val="1A1A1A"/>
                <w:sz w:val="17"/>
              </w:rPr>
              <w:t>Guided servicing + cooling-off + CoP</w:t>
            </w:r>
          </w:p>
        </w:tc>
      </w:tr>
      <w:tr>
        <w:tc>
          <w:tcPr>
            <w:tcW w:type="dxa" w:w="2041"/>
          </w:tcPr>
          <w:p>
            <w:pPr>
              <w:spacing w:after="20"/>
            </w:pPr>
            <w:r>
              <w:rPr>
                <w:rFonts w:ascii="Calibri" w:hAnsi="Calibri"/>
                <w:color w:val="1A1A1A"/>
                <w:sz w:val="17"/>
              </w:rPr>
              <w:t>Wealth &amp; private</w:t>
            </w:r>
          </w:p>
        </w:tc>
        <w:tc>
          <w:tcPr>
            <w:tcW w:type="dxa" w:w="2608"/>
          </w:tcPr>
          <w:p>
            <w:pPr>
              <w:spacing w:after="20"/>
            </w:pPr>
            <w:r>
              <w:rPr>
                <w:rFonts w:ascii="Calibri" w:hAnsi="Calibri"/>
                <w:color w:val="1A1A1A"/>
                <w:sz w:val="17"/>
              </w:rPr>
              <w:t>Suitability, mandate evidence</w:t>
            </w:r>
          </w:p>
        </w:tc>
        <w:tc>
          <w:tcPr>
            <w:tcW w:type="dxa" w:w="2891"/>
          </w:tcPr>
          <w:p>
            <w:pPr>
              <w:spacing w:after="20"/>
            </w:pPr>
            <w:r>
              <w:rPr>
                <w:rFonts w:ascii="Calibri" w:hAnsi="Calibri"/>
                <w:color w:val="1A1A1A"/>
                <w:sz w:val="17"/>
              </w:rPr>
              <w:t>Dual authorisation + mandate + audit trail</w:t>
            </w:r>
          </w:p>
        </w:tc>
      </w:tr>
      <w:tr>
        <w:tc>
          <w:tcPr>
            <w:tcW w:type="dxa" w:w="2041"/>
            <w:shd w:val="clear" w:fill="F7F7F6"/>
          </w:tcPr>
          <w:p>
            <w:pPr>
              <w:spacing w:after="20"/>
            </w:pPr>
            <w:r>
              <w:rPr>
                <w:rFonts w:ascii="Calibri" w:hAnsi="Calibri"/>
                <w:color w:val="1A1A1A"/>
                <w:sz w:val="17"/>
              </w:rPr>
              <w:t>Corporate &amp; commercial</w:t>
            </w:r>
          </w:p>
        </w:tc>
        <w:tc>
          <w:tcPr>
            <w:tcW w:type="dxa" w:w="2608"/>
            <w:shd w:val="clear" w:fill="F7F7F6"/>
          </w:tcPr>
          <w:p>
            <w:pPr>
              <w:spacing w:after="20"/>
            </w:pPr>
            <w:r>
              <w:rPr>
                <w:rFonts w:ascii="Calibri" w:hAnsi="Calibri"/>
                <w:color w:val="1A1A1A"/>
                <w:sz w:val="17"/>
              </w:rPr>
              <w:t>Multi-signatory KYB</w:t>
            </w:r>
          </w:p>
        </w:tc>
        <w:tc>
          <w:tcPr>
            <w:tcW w:type="dxa" w:w="2891"/>
            <w:shd w:val="clear" w:fill="F7F7F6"/>
          </w:tcPr>
          <w:p>
            <w:pPr>
              <w:spacing w:after="20"/>
            </w:pPr>
            <w:r>
              <w:rPr>
                <w:rFonts w:ascii="Calibri" w:hAnsi="Calibri"/>
                <w:color w:val="1A1A1A"/>
                <w:sz w:val="17"/>
              </w:rPr>
              <w:t>Strictest-rule mandate engine + KYC/KYB</w:t>
            </w:r>
          </w:p>
        </w:tc>
      </w:tr>
      <w:tr>
        <w:tc>
          <w:tcPr>
            <w:tcW w:type="dxa" w:w="2041"/>
          </w:tcPr>
          <w:p>
            <w:pPr>
              <w:spacing w:after="20"/>
            </w:pPr>
            <w:r>
              <w:rPr>
                <w:rFonts w:ascii="Calibri" w:hAnsi="Calibri"/>
                <w:color w:val="1A1A1A"/>
                <w:sz w:val="17"/>
              </w:rPr>
              <w:t>Insurance</w:t>
            </w:r>
          </w:p>
        </w:tc>
        <w:tc>
          <w:tcPr>
            <w:tcW w:type="dxa" w:w="2608"/>
          </w:tcPr>
          <w:p>
            <w:pPr>
              <w:spacing w:after="20"/>
            </w:pPr>
            <w:r>
              <w:rPr>
                <w:rFonts w:ascii="Calibri" w:hAnsi="Calibri"/>
                <w:color w:val="1A1A1A"/>
                <w:sz w:val="17"/>
              </w:rPr>
              <w:t>ICOBS · Consumer Duty</w:t>
            </w:r>
          </w:p>
        </w:tc>
        <w:tc>
          <w:tcPr>
            <w:tcW w:type="dxa" w:w="2891"/>
          </w:tcPr>
          <w:p>
            <w:pPr>
              <w:spacing w:after="20"/>
            </w:pPr>
            <w:r>
              <w:rPr>
                <w:rFonts w:ascii="Calibri" w:hAnsi="Calibri"/>
                <w:color w:val="1A1A1A"/>
                <w:sz w:val="17"/>
              </w:rPr>
              <w:t>Guided journeys + DISP complaint handling</w:t>
            </w:r>
          </w:p>
        </w:tc>
      </w:tr>
      <w:tr>
        <w:tc>
          <w:tcPr>
            <w:tcW w:type="dxa" w:w="2041"/>
            <w:shd w:val="clear" w:fill="F7F7F6"/>
          </w:tcPr>
          <w:p>
            <w:pPr>
              <w:spacing w:after="20"/>
            </w:pPr>
            <w:r>
              <w:rPr>
                <w:rFonts w:ascii="Calibri" w:hAnsi="Calibri"/>
                <w:color w:val="1A1A1A"/>
                <w:sz w:val="17"/>
              </w:rPr>
              <w:t>Mortgages</w:t>
            </w:r>
          </w:p>
        </w:tc>
        <w:tc>
          <w:tcPr>
            <w:tcW w:type="dxa" w:w="2608"/>
            <w:shd w:val="clear" w:fill="F7F7F6"/>
          </w:tcPr>
          <w:p>
            <w:pPr>
              <w:spacing w:after="20"/>
            </w:pPr>
            <w:r>
              <w:rPr>
                <w:rFonts w:ascii="Calibri" w:hAnsi="Calibri"/>
                <w:color w:val="1A1A1A"/>
                <w:sz w:val="17"/>
              </w:rPr>
              <w:t>MCOB affordability &amp; cooling-off</w:t>
            </w:r>
          </w:p>
        </w:tc>
        <w:tc>
          <w:tcPr>
            <w:tcW w:type="dxa" w:w="2891"/>
            <w:shd w:val="clear" w:fill="F7F7F6"/>
          </w:tcPr>
          <w:p>
            <w:pPr>
              <w:spacing w:after="20"/>
            </w:pPr>
            <w:r>
              <w:rPr>
                <w:rFonts w:ascii="Calibri" w:hAnsi="Calibri"/>
                <w:color w:val="1A1A1A"/>
                <w:sz w:val="17"/>
              </w:rPr>
              <w:t>Offer + disclosure + cooling-off + signed draw-down</w:t>
            </w:r>
          </w:p>
        </w:tc>
      </w:tr>
      <w:tr>
        <w:tc>
          <w:tcPr>
            <w:tcW w:type="dxa" w:w="2041"/>
          </w:tcPr>
          <w:p>
            <w:pPr>
              <w:spacing w:after="20"/>
            </w:pPr>
            <w:r>
              <w:rPr>
                <w:rFonts w:ascii="Calibri" w:hAnsi="Calibri"/>
                <w:color w:val="1A1A1A"/>
                <w:sz w:val="17"/>
              </w:rPr>
              <w:t>Cards &amp; payments</w:t>
            </w:r>
          </w:p>
        </w:tc>
        <w:tc>
          <w:tcPr>
            <w:tcW w:type="dxa" w:w="2608"/>
          </w:tcPr>
          <w:p>
            <w:pPr>
              <w:spacing w:after="20"/>
            </w:pPr>
            <w:r>
              <w:rPr>
                <w:rFonts w:ascii="Calibri" w:hAnsi="Calibri"/>
                <w:color w:val="1A1A1A"/>
                <w:sz w:val="17"/>
              </w:rPr>
              <w:t>Dispute / indemnity time limits</w:t>
            </w:r>
          </w:p>
        </w:tc>
        <w:tc>
          <w:tcPr>
            <w:tcW w:type="dxa" w:w="2891"/>
          </w:tcPr>
          <w:p>
            <w:pPr>
              <w:spacing w:after="20"/>
            </w:pPr>
            <w:r>
              <w:rPr>
                <w:rFonts w:ascii="Calibri" w:hAnsi="Calibri"/>
                <w:color w:val="1A1A1A"/>
                <w:sz w:val="17"/>
              </w:rPr>
              <w:t>CoP + DD Guarantee + evidence trail</w:t>
            </w:r>
          </w:p>
        </w:tc>
      </w:tr>
      <w:tr>
        <w:tc>
          <w:tcPr>
            <w:tcW w:type="dxa" w:w="2041"/>
            <w:shd w:val="clear" w:fill="F7F7F6"/>
          </w:tcPr>
          <w:p>
            <w:pPr>
              <w:spacing w:after="20"/>
            </w:pPr>
            <w:r>
              <w:rPr>
                <w:rFonts w:ascii="Calibri" w:hAnsi="Calibri"/>
                <w:color w:val="1A1A1A"/>
                <w:sz w:val="17"/>
              </w:rPr>
              <w:t>Collections / vulnerability</w:t>
            </w:r>
          </w:p>
        </w:tc>
        <w:tc>
          <w:tcPr>
            <w:tcW w:type="dxa" w:w="2608"/>
            <w:shd w:val="clear" w:fill="F7F7F6"/>
          </w:tcPr>
          <w:p>
            <w:pPr>
              <w:spacing w:after="20"/>
            </w:pPr>
            <w:r>
              <w:rPr>
                <w:rFonts w:ascii="Calibri" w:hAnsi="Calibri"/>
                <w:color w:val="1A1A1A"/>
                <w:sz w:val="17"/>
              </w:rPr>
              <w:t>Consumer Duty vulnerability guidance</w:t>
            </w:r>
          </w:p>
        </w:tc>
        <w:tc>
          <w:tcPr>
            <w:tcW w:type="dxa" w:w="2891"/>
            <w:shd w:val="clear" w:fill="F7F7F6"/>
          </w:tcPr>
          <w:p>
            <w:pPr>
              <w:spacing w:after="20"/>
            </w:pPr>
            <w:r>
              <w:rPr>
                <w:rFonts w:ascii="Calibri" w:hAnsi="Calibri"/>
                <w:color w:val="1A1A1A"/>
                <w:sz w:val="17"/>
              </w:rPr>
              <w:t>Contact log, escalation, documented fairness</w:t>
            </w:r>
          </w:p>
        </w:tc>
      </w:tr>
      <w:tr>
        <w:tc>
          <w:tcPr>
            <w:tcW w:type="dxa" w:w="2041"/>
          </w:tcPr>
          <w:p>
            <w:pPr>
              <w:spacing w:after="20"/>
            </w:pPr>
            <w:r>
              <w:rPr>
                <w:rFonts w:ascii="Calibri" w:hAnsi="Calibri"/>
                <w:color w:val="1A1A1A"/>
                <w:sz w:val="17"/>
              </w:rPr>
              <w:t>Onboarding / financial crime</w:t>
            </w:r>
          </w:p>
        </w:tc>
        <w:tc>
          <w:tcPr>
            <w:tcW w:type="dxa" w:w="2608"/>
          </w:tcPr>
          <w:p>
            <w:pPr>
              <w:spacing w:after="20"/>
            </w:pPr>
            <w:r>
              <w:rPr>
                <w:rFonts w:ascii="Calibri" w:hAnsi="Calibri"/>
                <w:color w:val="1A1A1A"/>
                <w:sz w:val="17"/>
              </w:rPr>
              <w:t>MLR 2017 / JMLSG · sanctions</w:t>
            </w:r>
          </w:p>
        </w:tc>
        <w:tc>
          <w:tcPr>
            <w:tcW w:type="dxa" w:w="2891"/>
          </w:tcPr>
          <w:p>
            <w:pPr>
              <w:spacing w:after="20"/>
            </w:pPr>
            <w:r>
              <w:rPr>
                <w:rFonts w:ascii="Calibri" w:hAnsi="Calibri"/>
                <w:color w:val="1A1A1A"/>
                <w:sz w:val="17"/>
              </w:rPr>
              <w:t>KYC/KYB flow + fraud/APP framing</w:t>
            </w:r>
          </w:p>
        </w:tc>
      </w:tr>
      <w:tr>
        <w:tc>
          <w:tcPr>
            <w:tcW w:type="dxa" w:w="2041"/>
            <w:shd w:val="clear" w:fill="F7F7F6"/>
          </w:tcPr>
          <w:p>
            <w:pPr>
              <w:spacing w:after="20"/>
            </w:pPr>
            <w:r>
              <w:rPr>
                <w:rFonts w:ascii="Calibri" w:hAnsi="Calibri"/>
                <w:color w:val="1A1A1A"/>
                <w:sz w:val="17"/>
              </w:rPr>
              <w:t>Branch / contact centre</w:t>
            </w:r>
          </w:p>
        </w:tc>
        <w:tc>
          <w:tcPr>
            <w:tcW w:type="dxa" w:w="2608"/>
            <w:shd w:val="clear" w:fill="F7F7F6"/>
          </w:tcPr>
          <w:p>
            <w:pPr>
              <w:spacing w:after="20"/>
            </w:pPr>
            <w:r>
              <w:rPr>
                <w:rFonts w:ascii="Calibri" w:hAnsi="Calibri"/>
                <w:color w:val="1A1A1A"/>
                <w:sz w:val="17"/>
              </w:rPr>
              <w:t>Cost, access, Consumer Duty</w:t>
            </w:r>
          </w:p>
        </w:tc>
        <w:tc>
          <w:tcPr>
            <w:tcW w:type="dxa" w:w="2891"/>
            <w:shd w:val="clear" w:fill="F7F7F6"/>
          </w:tcPr>
          <w:p>
            <w:pPr>
              <w:spacing w:after="20"/>
            </w:pPr>
            <w:r>
              <w:rPr>
                <w:rFonts w:ascii="Calibri" w:hAnsi="Calibri"/>
                <w:color w:val="1A1A1A"/>
                <w:sz w:val="17"/>
              </w:rPr>
              <w:t>Self-serve workflow + embedded control + audit</w:t>
            </w:r>
          </w:p>
        </w:tc>
      </w:tr>
    </w:tbl>
    <w:p>
      <w:pPr>
        <w:spacing w:before="60" w:after="200"/>
      </w:pPr>
      <w:r>
        <w:rPr>
          <w:rFonts w:ascii="Calibri" w:hAnsi="Calibri"/>
          <w:i/>
          <w:color w:val="666666"/>
          <w:sz w:val="17"/>
        </w:rPr>
        <w:t>Table 2. Segment-by-segment mapping. Each row names a factual obligation or driver and the prototype pattern that structurally addresses it.</w:t>
      </w:r>
    </w:p>
    <w:p>
      <w:pPr>
        <w:spacing w:before="280" w:after="80"/>
        <w:pBdr>
          <w:bottom w:val="single" w:sz="6" w:space="4" w:color="C8102E"/>
        </w:pBdr>
      </w:pPr>
      <w:r>
        <w:rPr>
          <w:rFonts w:ascii="Calibri" w:hAnsi="Calibri"/>
          <w:b/>
          <w:color w:val="1A1A1A"/>
          <w:sz w:val="28"/>
        </w:rPr>
        <w:t>7 Basis reminder and limitations</w:t>
      </w:r>
    </w:p>
    <w:p>
      <w:pPr>
        <w:spacing w:before="0" w:after="120"/>
        <w:jc w:val="left"/>
      </w:pPr>
      <w:r>
        <w:rPr>
          <w:rFonts w:ascii="Calibri" w:hAnsi="Calibri"/>
          <w:b w:val="0"/>
          <w:i w:val="0"/>
          <w:color w:val="1A1A1A"/>
          <w:sz w:val="21"/>
        </w:rPr>
        <w:t>The mappings in §6 are claims of applicability, not of readiness. The prototype, as built, is a front-end demonstration with fictional data and no back-end (see the accompanying Technical Report). Applying the pattern to any segment above would require the production path of Table 1 — real services, server-side enforcement, testing and independent assurance — and each segment’s own regulatory detail. What transfers is the pattern and the evidence discipline, not a finished system.</w:t>
      </w:r>
    </w:p>
    <w:p>
      <w:pPr>
        <w:spacing w:before="280" w:after="80"/>
        <w:pBdr>
          <w:bottom w:val="single" w:sz="6" w:space="4" w:color="C8102E"/>
        </w:pBdr>
      </w:pPr>
      <w:r>
        <w:rPr>
          <w:rFonts w:ascii="Calibri" w:hAnsi="Calibri"/>
          <w:b/>
          <w:color w:val="1A1A1A"/>
          <w:sz w:val="28"/>
        </w:rPr>
        <w:t>8 Conclusion</w:t>
      </w:r>
    </w:p>
    <w:p>
      <w:pPr>
        <w:spacing w:before="0" w:after="120"/>
        <w:jc w:val="left"/>
      </w:pPr>
      <w:r>
        <w:rPr>
          <w:rFonts w:ascii="Calibri" w:hAnsi="Calibri"/>
          <w:b w:val="0"/>
          <w:i w:val="0"/>
          <w:color w:val="1A1A1A"/>
          <w:sz w:val="21"/>
        </w:rPr>
        <w:t>The prototype’s contribution is a repeatable way to make a regulated process paperless without losing the evidence a regulator expects: guide the task, embed the control, log the outcome. That pattern is common to retail, wealth, corporate, insurance, mortgages, payments, collections and financial-crime operations. Business banking was the first place to prove it; it is not the last place it applies.</w:t>
      </w:r>
    </w:p>
    <w:p>
      <w:pPr>
        <w:spacing w:before="280" w:after="80"/>
        <w:pBdr>
          <w:bottom w:val="single" w:sz="6" w:space="4" w:color="C8102E"/>
        </w:pBdr>
      </w:pPr>
      <w:r>
        <w:rPr>
          <w:rFonts w:ascii="Calibri" w:hAnsi="Calibri"/>
          <w:b/>
          <w:color w:val="1A1A1A"/>
          <w:sz w:val="28"/>
        </w:rPr>
        <w:t>References</w:t>
      </w:r>
    </w:p>
    <w:p>
      <w:pPr>
        <w:spacing w:after="40"/>
        <w:ind w:left="454" w:hanging="454"/>
      </w:pPr>
      <w:r>
        <w:rPr>
          <w:rFonts w:ascii="Calibri" w:hAnsi="Calibri"/>
          <w:b/>
          <w:color w:val="1A1A1A"/>
          <w:sz w:val="17"/>
        </w:rPr>
        <w:t xml:space="preserve">[1]  </w:t>
      </w:r>
      <w:r>
        <w:rPr>
          <w:rFonts w:ascii="Calibri" w:hAnsi="Calibri"/>
          <w:color w:val="1A1A1A"/>
          <w:sz w:val="17"/>
        </w:rPr>
        <w:t>Financial Conduct Authority. Consumer Duty (PRIN 2A), 2023.</w:t>
      </w:r>
    </w:p>
    <w:p>
      <w:pPr>
        <w:spacing w:after="40"/>
        <w:ind w:left="454" w:hanging="454"/>
      </w:pPr>
      <w:r>
        <w:rPr>
          <w:rFonts w:ascii="Calibri" w:hAnsi="Calibri"/>
          <w:b/>
          <w:color w:val="1A1A1A"/>
          <w:sz w:val="17"/>
        </w:rPr>
        <w:t xml:space="preserve">[2]  </w:t>
      </w:r>
      <w:r>
        <w:rPr>
          <w:rFonts w:ascii="Calibri" w:hAnsi="Calibri"/>
          <w:color w:val="1A1A1A"/>
          <w:sz w:val="17"/>
        </w:rPr>
        <w:t>Financial Conduct Authority. BCOBS — Banking: Conduct of Business Sourcebook.</w:t>
      </w:r>
    </w:p>
    <w:p>
      <w:pPr>
        <w:spacing w:after="40"/>
        <w:ind w:left="454" w:hanging="454"/>
      </w:pPr>
      <w:r>
        <w:rPr>
          <w:rFonts w:ascii="Calibri" w:hAnsi="Calibri"/>
          <w:b/>
          <w:color w:val="1A1A1A"/>
          <w:sz w:val="17"/>
        </w:rPr>
        <w:t xml:space="preserve">[3]  </w:t>
      </w:r>
      <w:r>
        <w:rPr>
          <w:rFonts w:ascii="Calibri" w:hAnsi="Calibri"/>
          <w:color w:val="1A1A1A"/>
          <w:sz w:val="17"/>
        </w:rPr>
        <w:t>Financial Conduct Authority. ICOBS — Insurance: Conduct of Business Sourcebook.</w:t>
      </w:r>
    </w:p>
    <w:p>
      <w:pPr>
        <w:spacing w:after="40"/>
        <w:ind w:left="454" w:hanging="454"/>
      </w:pPr>
      <w:r>
        <w:rPr>
          <w:rFonts w:ascii="Calibri" w:hAnsi="Calibri"/>
          <w:b/>
          <w:color w:val="1A1A1A"/>
          <w:sz w:val="17"/>
        </w:rPr>
        <w:t xml:space="preserve">[4]  </w:t>
      </w:r>
      <w:r>
        <w:rPr>
          <w:rFonts w:ascii="Calibri" w:hAnsi="Calibri"/>
          <w:color w:val="1A1A1A"/>
          <w:sz w:val="17"/>
        </w:rPr>
        <w:t>Financial Conduct Authority. MCOB — Mortgages and Home Finance: Conduct of Business Sourcebook.</w:t>
      </w:r>
    </w:p>
    <w:p>
      <w:pPr>
        <w:spacing w:after="40"/>
        <w:ind w:left="454" w:hanging="454"/>
      </w:pPr>
      <w:r>
        <w:rPr>
          <w:rFonts w:ascii="Calibri" w:hAnsi="Calibri"/>
          <w:b/>
          <w:color w:val="1A1A1A"/>
          <w:sz w:val="17"/>
        </w:rPr>
        <w:t xml:space="preserve">[5]  </w:t>
      </w:r>
      <w:r>
        <w:rPr>
          <w:rFonts w:ascii="Calibri" w:hAnsi="Calibri"/>
          <w:color w:val="1A1A1A"/>
          <w:sz w:val="17"/>
        </w:rPr>
        <w:t>Financial Conduct Authority. DISP — Dispute Resolution: Complaints.</w:t>
      </w:r>
    </w:p>
    <w:p>
      <w:pPr>
        <w:spacing w:after="40"/>
        <w:ind w:left="454" w:hanging="454"/>
      </w:pPr>
      <w:r>
        <w:rPr>
          <w:rFonts w:ascii="Calibri" w:hAnsi="Calibri"/>
          <w:b/>
          <w:color w:val="1A1A1A"/>
          <w:sz w:val="17"/>
        </w:rPr>
        <w:t xml:space="preserve">[6]  </w:t>
      </w:r>
      <w:r>
        <w:rPr>
          <w:rFonts w:ascii="Calibri" w:hAnsi="Calibri"/>
          <w:color w:val="1A1A1A"/>
          <w:sz w:val="17"/>
        </w:rPr>
        <w:t>European Banking Authority / FCA. PSD2 Regulatory Technical Standards on SCA, Art. 97.</w:t>
      </w:r>
    </w:p>
    <w:p>
      <w:pPr>
        <w:spacing w:after="40"/>
        <w:ind w:left="454" w:hanging="454"/>
      </w:pPr>
      <w:r>
        <w:rPr>
          <w:rFonts w:ascii="Calibri" w:hAnsi="Calibri"/>
          <w:b/>
          <w:color w:val="1A1A1A"/>
          <w:sz w:val="17"/>
        </w:rPr>
        <w:t xml:space="preserve">[7]  </w:t>
      </w:r>
      <w:r>
        <w:rPr>
          <w:rFonts w:ascii="Calibri" w:hAnsi="Calibri"/>
          <w:color w:val="1A1A1A"/>
          <w:sz w:val="17"/>
        </w:rPr>
        <w:t>Payment Systems Regulator. Confirmation of Payee; SI 2019/1215; PS23/3 (APP fraud reimbursement).</w:t>
      </w:r>
    </w:p>
    <w:p>
      <w:pPr>
        <w:spacing w:after="40"/>
        <w:ind w:left="454" w:hanging="454"/>
      </w:pPr>
      <w:r>
        <w:rPr>
          <w:rFonts w:ascii="Calibri" w:hAnsi="Calibri"/>
          <w:b/>
          <w:color w:val="1A1A1A"/>
          <w:sz w:val="17"/>
        </w:rPr>
        <w:t xml:space="preserve">[8]  </w:t>
      </w:r>
      <w:r>
        <w:rPr>
          <w:rFonts w:ascii="Calibri" w:hAnsi="Calibri"/>
          <w:color w:val="1A1A1A"/>
          <w:sz w:val="17"/>
        </w:rPr>
        <w:t>Money Laundering Regulations 2017; JMLSG Guidance.</w:t>
      </w:r>
    </w:p>
    <w:p>
      <w:pPr>
        <w:spacing w:after="40"/>
        <w:ind w:left="454" w:hanging="454"/>
      </w:pPr>
      <w:r>
        <w:rPr>
          <w:rFonts w:ascii="Calibri" w:hAnsi="Calibri"/>
          <w:b/>
          <w:color w:val="1A1A1A"/>
          <w:sz w:val="17"/>
        </w:rPr>
        <w:t xml:space="preserve">[9]  </w:t>
      </w:r>
      <w:r>
        <w:rPr>
          <w:rFonts w:ascii="Calibri" w:hAnsi="Calibri"/>
          <w:color w:val="1A1A1A"/>
          <w:sz w:val="17"/>
        </w:rPr>
        <w:t>Financial Conduct Authority. SYSC 9 — record-keeping (7-year retention).</w:t>
      </w:r>
    </w:p>
    <w:p>
      <w:pPr>
        <w:spacing w:after="40"/>
        <w:ind w:left="454" w:hanging="454"/>
      </w:pPr>
      <w:r>
        <w:rPr>
          <w:rFonts w:ascii="Calibri" w:hAnsi="Calibri"/>
          <w:b/>
          <w:color w:val="1A1A1A"/>
          <w:sz w:val="17"/>
        </w:rPr>
        <w:t xml:space="preserve">[10]  </w:t>
      </w:r>
      <w:r>
        <w:rPr>
          <w:rFonts w:ascii="Calibri" w:hAnsi="Calibri"/>
          <w:color w:val="1A1A1A"/>
          <w:sz w:val="17"/>
        </w:rPr>
        <w:t>D. Berman. Individual Accountability Under the Senior Managers Regime. Macfarlanes / Thomson Reuters, 2016.</w:t>
      </w:r>
    </w:p>
    <w:p>
      <w:pPr>
        <w:spacing w:after="40"/>
        <w:ind w:left="454" w:hanging="454"/>
      </w:pPr>
      <w:r>
        <w:rPr>
          <w:rFonts w:ascii="Calibri" w:hAnsi="Calibri"/>
          <w:b/>
          <w:color w:val="1A1A1A"/>
          <w:sz w:val="17"/>
        </w:rPr>
        <w:t xml:space="preserve">[11]  </w:t>
      </w:r>
      <w:r>
        <w:rPr>
          <w:rFonts w:ascii="Calibri" w:hAnsi="Calibri"/>
          <w:color w:val="1A1A1A"/>
          <w:sz w:val="17"/>
        </w:rPr>
        <w:t>Santander Business Banking Prototype — Technical Report, June 2026 (companion document).</w:t>
      </w:r>
    </w:p>
    <w:p>
      <w:pPr>
        <w:spacing w:after="40"/>
        <w:ind w:left="454" w:hanging="454"/>
      </w:pPr>
      <w:r>
        <w:rPr>
          <w:rFonts w:ascii="Calibri" w:hAnsi="Calibri"/>
          <w:b/>
          <w:color w:val="1A1A1A"/>
          <w:sz w:val="17"/>
        </w:rPr>
        <w:t xml:space="preserve">[12]  </w:t>
      </w:r>
      <w:r>
        <w:rPr>
          <w:rFonts w:ascii="Calibri" w:hAnsi="Calibri"/>
          <w:color w:val="1A1A1A"/>
          <w:sz w:val="17"/>
        </w:rPr>
        <w:t>1701-uniform/REFERENCE.md — internal technical reference library (112 sections, 121 books &amp; regulatory documents).</w:t>
      </w:r>
    </w:p>
    <w:p>
      <w:pPr>
        <w:spacing w:before="0" w:after="80"/>
        <w:jc w:val="left"/>
      </w:pPr>
      <w:r>
        <w:rPr>
          <w:rFonts w:ascii="Calibri" w:hAnsi="Calibri"/>
          <w:b w:val="0"/>
          <w:i w:val="0"/>
          <w:color w:val="1A1A1A"/>
          <w:sz w:val="21"/>
        </w:rPr>
      </w:r>
    </w:p>
    <w:tbl>
      <w:tblPr>
        <w:tblW w:type="auto" w:w="0"/>
        <w:jc w:val="center"/>
        <w:tblLook w:firstColumn="1" w:firstRow="1" w:lastColumn="0" w:lastRow="0" w:noHBand="0" w:noVBand="1" w:val="04A0"/>
      </w:tblPr>
      <w:tblGrid>
        <w:gridCol w:w="9187"/>
      </w:tblGrid>
      <w:tr>
        <w:tc>
          <w:tcPr>
            <w:tcW w:type="dxa" w:w="9187"/>
            <w:shd w:val="clear" w:fill="1A1A1A"/>
          </w:tcPr>
          <w:p>
            <w:pPr>
              <w:spacing w:after="0" w:before="0"/>
              <w:jc w:val="center"/>
            </w:pPr>
            <w:r>
              <w:rPr>
                <w:rFonts w:ascii="Calibri" w:hAnsi="Calibri"/>
                <w:b/>
                <w:color w:val="FFFFFF"/>
                <w:sz w:val="18"/>
              </w:rPr>
              <w:t>INTERNAL · CONFIDENTIAL</w:t>
            </w:r>
          </w:p>
        </w:tc>
      </w:tr>
    </w:tbl>
    <w:p>
      <w:pPr>
        <w:spacing w:before="120" w:after="120"/>
        <w:jc w:val="center"/>
      </w:pPr>
      <w:r>
        <w:rPr>
          <w:rFonts w:ascii="Calibri" w:hAnsi="Calibri"/>
          <w:b w:val="0"/>
          <w:i/>
          <w:color w:val="999999"/>
          <w:sz w:val="16"/>
        </w:rPr>
        <w:t>Santander UK plc · Self-initiated · Completed out of hours, own time · Alan Davidson, Business Banking Advisor · June 2026</w:t>
      </w:r>
    </w:p>
    <w:sectPr w:rsidR="00FC693F" w:rsidRPr="0006063C" w:rsidSect="00034616">
      <w:pgSz w:w="11909" w:h="16834"/>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