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data-protection references reflect the UK regime as reshaped by the Data (Use and Access) Act 2025, whose data-protection and PECR provisions are now in force — the principal Part 5 reforms from 5 February 2026 and the data-subject complaints-handling duty from 19 June 2026 [15]. A production build would need to reflect that settled position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