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200"/>
      </w:pPr>
      <w:r>
        <w:rPr>
          <w:rFonts w:ascii="Calibri" w:hAnsi="Calibri"/>
          <w:b/>
          <w:i w:val="0"/>
          <w:color w:val="C8102E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Santander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Concept Prototype — Technical Report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A front-end exploration of paperless, compliant-by-design service journeys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Concept prototype — for internal discussion and customer research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Distribution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product, design, and risk &amp; compliance stakeholders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Executive summary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Context and problem statement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Objectives, scope and non-goals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System architecture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Workflow catalogue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Regulatory control mapping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Engineering and quality approach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Accessibility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9  Limitations and assumptions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10  Indicative next steps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1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Executive summary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 banking retains a striking dependence on paper. Mandate variations, account closures, beneficiary onboarding and dispute handling still routinely require posted forms, wet-ink signatures and branch attendance — processes that impose days of latency, measurable operational cost, and inconsistent application of controls at exactly the points where regulatory rigour matters most.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report describes a self-initiated concept prototype that reframes seventeen such service events as guided, digitally-signed, self-serve journeys. The distinguishing idea is that the controls each journey must satisfy — Strong Customer Authentication [3], Confirmation of Payee [4], sanctions and politically-exposed-person screening [8], cooling-off, and record-keeping [12] — are expressed inside the flow rather than appended through manual back-office process. Control thereby becomes an enabler of a better experience instead of the reason to retain paper.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deliberately a front-end artefact. It holds no customer data, connects to no live system, and is not a release candidate. Its purpose is to make a service proposition tangible enough to test — with colleagues, with risk and compliance, and with business customers — before any commitment to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Dimension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Summary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Workflows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Seventeen end-to-end paperless journeys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coverage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 business types (sole trader, partnership, limited company, LLP, charity, club, society)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Platform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Single-file React front end, compiled to one self-contained HTML bundle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framing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PSD2/SCA, CoP, PSR 2017, MLR 2017, FCA DISP/BCOBS/SYSC, Consumer Duty, UK GDPR, MTD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Scope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Front-end concept only — no backend, no real data, not production-hardened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2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Context and problem statement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friction in business-banking servicing is not primarily a technology gap; it is a process gap. The underlying capabilities — digital identity, strong authentication, Confirmation of Payee and real-time payments — are mature and, in several cases, mandated. Yet the service events that sit on top of them are frequently still discharged on paper, for three connected reasons: the controls are treated as separate from the customer journey; the journeys are owned by different teams; and no single artefact makes the end-to-end experience concrete enough to challenge.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cost of that gap is cumulative. Postal round-trips convert minutes of decision-making into days of elapsed time. Manual re-keying introduces error and rework. And discretionary, manually-applied controls are, by construction, harder to evidence consistently — a growing concern under the FCA Consumer Duty [1], which expects firms to demonstrate good outcomes rather than assert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THE CORE QUESTION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What would these service events look like if they were re-imagined as in-app, self-serve, compliant-by-design journeys — with each regulatory check built into the flow, applied consistently, and recorded automatically?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3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Objectives, scope and non-goals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was built to answer that question in a form that can be reviewed and tested, not merely described. Its objectives are therefore evidential rather than technical: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Demonstrate credible paperless equivalents for the most paper-heavy business-banking service events.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Express, within each journey, the specific regulatory control it must satisfy — so reviewers can see where an obligation is met rather than infer it.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Provide a single, clickable artefact for internal review and structured customer research.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Establish a consistent design language and a measurable accessibility standard for the journeys.</w:t>
      </w: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Non-goals (explicitly out of scope)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Equally important is what the prototype is not, so that its evidence is read correctly: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backend, database, or integration with live banking systems.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real customer, account, or payment data — every figure and reference is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production security hardening; this is a concept artefact, not a release candidate.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processing of real payments, identity documents, or regulatory submissions.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4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System architecture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implemented as a single React component compiled by Vite into one self-contained HTML bundle. This is an unusual choice for production software but a deliberate one for a concept artefact: it keeps the entire product readable top-to-bottom, removes build-and-deploy friction, and lets the whole experience be shared as a single file. The trade-off — that all state lives in one component — is acceptable precisely because the artefact is not intended to scale as a codebase.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28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Architectural choice</w:t>
            </w:r>
          </w:p>
        </w:tc>
        <w:tc>
          <w:tcPr>
            <w:tcW w:type="dxa" w:w="5669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Single-file React front end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Whole product legible in one place; no module navigation to review it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Compiled to one HTML artefact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Frictionless to deploy, host, or hand to a colleague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Two shells, shared state (mobile &amp; desktop)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Demonstrates responsive parity without a second codebase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Workflow-overlay model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Each journey is a self-contained, multi-step wizard over the main app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system (7 business types)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Accounts, mandate rules, labels and required documents reconfigure per type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Mandate and authorisation model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Authorisation is modelled explicitly. Each account carries a signing rule — any-one, any-two, or all signatories — and every workflow resolves the strictest applicable rule across the accounts it touches. That resolved rule determines whether an instruction can proceed immediately, requires a co-signatory, or enters a cooling-off period. Encoding authorisation as data rather than as bespoke per-journey logic is what allows the same seventeen journeys to behave correctly across all seven entity types.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5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Workflow catalogue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implements seventeen end-to-end workflows. Each replaces an identifiable paper or branch-based process and surfaces the control that governs 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Workflow</w:t>
            </w:r>
          </w:p>
        </w:tc>
        <w:tc>
          <w:tcPr>
            <w:tcW w:type="dxa" w:w="4422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it replaces / does</w:t>
            </w:r>
          </w:p>
        </w:tc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Primary control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Account closure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Posted closure request; in-credit and cooling-off checks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BCOBS [11]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Business details update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Change of name/address/contact with proof of address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KYB [8]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Mandate changes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variation; add/remove signatories, signing rule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SM&amp;CR [12]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Bulk payments / wages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BACS paper schedule; payee book with per-payee CoP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CoP [4]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Pre-approved lending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Facility request by phone/post; offer and draw-down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CCA 1974 [13]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International FX payment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instruction; rate and fee disclosure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FTR [9]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Dormant reactivation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reactivation of a dormant account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Dormancy handling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Personal / business unlink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separation of personal data from a relationship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Credit ring-fence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Excludes personal data from business credit decisioning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Art. 5(1)(c)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Signatory ID register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KYC/KYB across identity and address evidence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[8]; ICO [17]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MTD VAT submission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VAT return; categorise, review, submit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HMRC MTD [14]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Complaint handling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complaint; intake, triage, decision, FOS route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FCA DISP [10]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Standing orders &amp; DDs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/ cancellation letter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Direct Debit Guarantee [5]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Transaction dispute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dispute form; chargeback / fraud / DD routes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PSR 2017 regs 76–77 [6]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Intl. beneficiary onboarding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IBAN and wet-ink verification; screening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[8], sanctions/PEP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Balance certificate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Written request with postal wait; sealed certificate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Evidence document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Trusted devices &amp; sessions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visit to reset access; device/session control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SCA [3], SYSC [12]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6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Regulatory control mapping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workflows are designed around the controls a production implementation would require. The prototype surfaces each control in the user experience so that a reviewer can locate where an obligation is discharged. The mapping below is indicative of intent, not a statement of certified compliance.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Framework</w:t>
            </w:r>
          </w:p>
        </w:tc>
        <w:tc>
          <w:tcPr>
            <w:tcW w:type="dxa" w:w="5443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Obligation reflected</w:t>
            </w:r>
          </w:p>
        </w:tc>
        <w:tc>
          <w:tcPr>
            <w:tcW w:type="dxa" w:w="1134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Ref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Consumer Duty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Demonstrable good outcomes; fair treatment designed into journeys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PSD2 / SCA-RTS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Customer Authentication and risk-based step-up before sensitive actions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[2][3]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Confirmation of Payee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Account-name verification before a first payment to a new payee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Direct Debit Guarantee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Immediate, guaranteed refund route for Direct Debit disputes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[5]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PSR 2017 (regs 76–77)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Refund of unauthorised transactions; correction of errors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[6]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APP reimbursement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Cancel window and reimbursement framing on outbound payments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[7]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MLR 2017 / FTR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Sanctions, PEP and adverse-media screening; payer/payee information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[8][9]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DISP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Complaint intake, decision, and escalation to the Financial Ombudsman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[10]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SYSC 9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Material actions recorded to an audit trail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[12]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HMRC MTD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Digital preparation and submission of VAT returns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UK GDPR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Data separation, ring-fencing and purpose limitation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[15]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data-protection references reflect the UK regime as reshaped by the Data (Use and Access) Act 2025, whose principal reforms took effect on 5 February 2026; a data-subject complaints-handling duty follows on 19 June 2026 [15]. A production build would need to track that transition — including the regulator's reconstitution as the Information Commission — as configurable policy rather than fixed assumptions.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7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Engineering and quality approach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Although a concept artefact, the prototype is produced through a disciplined, repeatable pipeline. The pipeline exists because the failure modes of a large single-file front end are predictable, and because a credible artefact must actually work when demonstrated — not merely compile. Four stages are kept distinct: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Scaffold — new workflows are generated from a template that encodes the file conventions and forecloses the recurring defects (state reset, dual-shell wiring, input handling).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Review — a parallel, multi-lens review examines each change for architecture, security, engineering, design-system and state-integrity concerns before it is accepted.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Gate — an automated pre-commit check blocks accessibility, colour-token, markup and build regressions from ever leaving the working tree.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Runtime verification — the built application is driven headlessly through real journeys, and audited against WCAG 2.1 AA [16] on each run, so that behaviour is proven rather than assumed.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WHY THIS MATTERS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Static review confirms that code exists and is well-formed; only driving the running application confirms that a control actually fires. The pipeline is designed so that the artefact demonstrated to stakeholders is the artefact that has been verified.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Design system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single visual language governs spacing, colour, typography and interaction: a fixed spacing scale, the Santander brand red reserved for the primary action on any screen, a warm neutral palette, tabular figures for every monetary value, and exactly one primary call-to-action per view. Consistency here is not decoration; it is what makes seventeen distinct journeys feel like one coherent product.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8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Accessibility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Accessibility is treated as a build gate rather than a closing audit. Interactive controls carry visible focus states and accessible names; status is never signalled by colour alone; and the interface is measured against WCAG 2.1 AA [16] using an automated engine on every verification run. Where the automated audit identified shortfalls — colour-contrast on small text and unnamed icon-only controls — they were corrected and re-measured to zero on the core screens. Full conformance, including assistive-technology testing, is identified as a pre-production activity.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9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9   Limitations and assumptions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should be read with its boundaries in mind, so that its evidence is neither over- nor under-weighted: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is front-end only: no data is stored, transmitted or processed, and no control is enforced server-side.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All names, figures, accounts and references are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behaviours are represented to communicate intent, not certified for production use.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has not been security-tested, load-tested, or assured to production standards.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10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10   Indicative next steps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Should the proposition be endorsed, a proportionate path from concept to pilot would be: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Prioritise the highest-value journeys — by volume, cost-to-serve and customer friction — for a backend-integrated pilot.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Validate the shortlisted journeys with business customers through structured research,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Complete a full WCAG 2.1 AA conformance review [16], including assistive-technology testing.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integration, security, resilience and data-protection requirements for a production build, and the target operating model to support it.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2018, as amended by the Data (Use and Access) Act 2025 (Royal Assent 19 June 2025; principal data-protection reforms in Part 5 in force from 5 February 2026; a data-subject complaints-handling duty under s.103 from 19 June 2026; the regulator is being reconstituted as the Information Commission).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[17]  </w:t>
      </w:r>
      <w:r>
        <w:rPr>
          <w:rFonts w:ascii="Calibri" w:hAnsi="Calibri"/>
          <w:b w:val="0"/>
          <w:i w:val="0"/>
          <w:color w:val="1C1917"/>
          <w:sz w:val="18"/>
        </w:rPr>
        <w:t>ICO, Employment practices and data protection: recruitment and selection (draft guidance; consultation closed, final version pending) — including the chapter on pre-employment vetting of candidates: vetting must be necessary, proportionate and data-minimising, with transparency to the individual and a DPIA where criminal-offence data is involved (relevant to the signatory ID register / KYC verification).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Business Banking Concept Prototype — Technical Report</w:t>
    </w:r>
    <w:r>
      <w:rPr>
        <w:b/>
        <w:color w:val="C8102E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