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187"/>
      </w:tblGrid>
      <w:tr>
        <w:tc>
          <w:tcPr>
            <w:tcW w:type="dxa" w:w="9187"/>
            <w:shd w:val="clear" w:fill="1A1A1A"/>
          </w:tcPr>
          <w:p>
            <w:pPr>
              <w:spacing w:after="0" w:before="0"/>
              <w:jc w:val="center"/>
            </w:pPr>
            <w:r>
              <w:rPr>
                <w:rFonts w:ascii="Calibri" w:hAnsi="Calibri"/>
                <w:b/>
                <w:color w:val="FFFFFF"/>
                <w:sz w:val="18"/>
              </w:rPr>
              <w:t>INTERNAL · CONFIDENTIAL</w:t>
            </w:r>
          </w:p>
        </w:tc>
      </w:tr>
    </w:tbl>
    <w:p>
      <w:pPr>
        <w:spacing w:before="200" w:after="80"/>
        <w:jc w:val="left"/>
      </w:pPr>
      <w:r>
        <w:rPr>
          <w:rFonts w:ascii="Calibri" w:hAnsi="Calibri"/>
          <w:b/>
          <w:i w:val="0"/>
          <w:color w:val="1A1A1A"/>
          <w:sz w:val="36"/>
        </w:rPr>
        <w:t>Santander Business Banking Prototype: A Front-End-First Architecture for Demonstrating Paperless Workflows with Embedded Regulatory Compliance</w:t>
      </w:r>
    </w:p>
    <w:p>
      <w:pPr>
        <w:spacing w:before="0" w:after="0"/>
        <w:jc w:val="left"/>
      </w:pPr>
      <w:r>
        <w:rPr>
          <w:rFonts w:ascii="Calibri" w:hAnsi="Calibri"/>
          <w:b/>
          <w:i w:val="0"/>
          <w:color w:val="1A1A1A"/>
          <w:sz w:val="22"/>
        </w:rPr>
        <w:t>Alan Davidson</w:t>
      </w:r>
    </w:p>
    <w:p>
      <w:pPr>
        <w:spacing w:before="0" w:after="0"/>
        <w:jc w:val="left"/>
      </w:pPr>
      <w:r>
        <w:rPr>
          <w:rFonts w:ascii="Calibri" w:hAnsi="Calibri"/>
          <w:b w:val="0"/>
          <w:i w:val="0"/>
          <w:color w:val="666666"/>
          <w:sz w:val="20"/>
        </w:rPr>
        <w:t>Santander Business Banking</w:t>
      </w:r>
    </w:p>
    <w:p>
      <w:pPr>
        <w:spacing w:before="0" w:after="200"/>
        <w:jc w:val="left"/>
      </w:pPr>
      <w:r>
        <w:rPr>
          <w:rFonts w:ascii="Calibri" w:hAnsi="Calibri"/>
          <w:b w:val="0"/>
          <w:i/>
          <w:color w:val="C8102E"/>
          <w:sz w:val="20"/>
        </w:rPr>
        <w:t>Technical Report · June 2026</w:t>
      </w:r>
    </w:p>
    <w:tbl>
      <w:tblPr>
        <w:tblW w:type="auto" w:w="0"/>
        <w:tblLook w:firstColumn="1" w:firstRow="1" w:lastColumn="0" w:lastRow="0" w:noHBand="0" w:noVBand="1" w:val="04A0"/>
      </w:tblPr>
      <w:tblGrid>
        <w:gridCol w:w="9187"/>
      </w:tblGrid>
      <w:tr>
        <w:tc>
          <w:tcPr>
            <w:tcW w:type="dxa" w:w="9187"/>
            <w:shd w:val="clear" w:fill="F7F2F0"/>
            <w:tcBorders>
              <w:left w:val="single" w:sz="18" w:space="0" w:color="C8102E"/>
            </w:tcBorders>
          </w:tcPr>
          <w:p>
            <w:pPr>
              <w:spacing w:after="40"/>
            </w:pPr>
            <w:r>
              <w:rPr>
                <w:rFonts w:ascii="Calibri" w:hAnsi="Calibri"/>
                <w:b/>
                <w:color w:val="1A1A1A"/>
                <w:sz w:val="20"/>
              </w:rPr>
              <w:t xml:space="preserve">Abstract.  </w:t>
            </w:r>
            <w:r>
              <w:rPr>
                <w:rFonts w:ascii="Calibri" w:hAnsi="Calibri"/>
                <w:color w:val="1A1A1A"/>
                <w:sz w:val="20"/>
              </w:rPr>
              <w:t>We present a front-end-only prototype of a Santander Business Banking application that demonstrates paperless equivalents of branch- and post-based processes — mandate changes, bulk payments, KYC/KYB, account closures, Making Tax Digital submission, lending, FX, standing orders and Direct Debits, account unlinking, ring-fencing and complaint handling — with the relevant regulatory control embedded in each flow rather than bolted on. The system is a single React component (~6,500 lines) compiled to one self-contained HTML file, runs in any browser with no backend or real data, and ships an immutable audit trail, dual-authorisation with personal-PIN signing, working-day-aware cooling-off, and Confirmation of Payee. We describe the architecture and its deliberate single-file constraint, the entity and mandate models that fork every compliance path, a feature-to-regulation mapping, and the evaluation the prototype supports. We state limitations candidly: the data is fictional, there is no production back-end, and the single-file design is a prototype-stage choice, not a production pattern.</w:t>
            </w:r>
          </w:p>
        </w:tc>
      </w:tr>
    </w:tbl>
    <w:p>
      <w:pPr>
        <w:spacing w:before="0" w:after="160"/>
        <w:jc w:val="left"/>
      </w:pPr>
      <w:r>
        <w:rPr>
          <w:rFonts w:ascii="Calibri" w:hAnsi="Calibri"/>
          <w:b w:val="0"/>
          <w:i/>
          <w:color w:val="666666"/>
          <w:sz w:val="18"/>
        </w:rPr>
        <w:t>Keywords: paperless banking; dual authorisation; SCA; Confirmation of Payee; FCA Consumer Duty; Making Tax Digital; cooling-off; Direct Debit Guarantee; FCA DISP complaints; single-file React; WCAG 2.1 AA; audit trail.</w:t>
      </w:r>
    </w:p>
    <w:p>
      <w:pPr>
        <w:spacing w:before="280" w:after="80"/>
        <w:pBdr>
          <w:bottom w:val="single" w:sz="6" w:space="4" w:color="C8102E"/>
        </w:pBdr>
      </w:pPr>
      <w:r>
        <w:rPr>
          <w:rFonts w:ascii="Calibri" w:hAnsi="Calibri"/>
          <w:b/>
          <w:color w:val="1A1A1A"/>
          <w:sz w:val="28"/>
        </w:rPr>
        <w:t>1 Introduction</w:t>
      </w:r>
    </w:p>
    <w:p>
      <w:pPr>
        <w:spacing w:before="0" w:after="120"/>
        <w:jc w:val="left"/>
      </w:pPr>
      <w:r>
        <w:rPr>
          <w:rFonts w:ascii="Calibri" w:hAnsi="Calibri"/>
          <w:b w:val="0"/>
          <w:i w:val="0"/>
          <w:color w:val="1A1A1A"/>
          <w:sz w:val="21"/>
        </w:rPr>
        <w:t>Business-banking change requests — adding a signatory, paying wages, closing an account, submitting VAT, cancelling a Direct Debit — have historically meant paper forms, branch visits and posting documents to a processing centre. Each is slow, error-prone and hard to audit. This prototype demonstrates that every one of these can be a guided, self-serve digital workflow in which the regulatory control is part of the flow, not a separate compliance step [1,2].</w:t>
      </w:r>
    </w:p>
    <w:p>
      <w:pPr>
        <w:spacing w:before="0" w:after="120"/>
        <w:jc w:val="left"/>
      </w:pPr>
      <w:r>
        <w:rPr>
          <w:rFonts w:ascii="Calibri" w:hAnsi="Calibri"/>
          <w:b w:val="0"/>
          <w:i w:val="0"/>
          <w:color w:val="1A1A1A"/>
          <w:sz w:val="21"/>
        </w:rPr>
        <w:t>The prototype is deliberately front-end only. It holds no real customer data, makes no API calls (other than Google Fonts), and is built to be opened on any device for internal presentations and customer research. This scopes the contribution precisely: it is a demonstration of workflow design and embedded compliance, not a production banking system.</w:t>
      </w:r>
    </w:p>
    <w:p>
      <w:pPr>
        <w:spacing w:before="200" w:after="60"/>
      </w:pPr>
      <w:r>
        <w:rPr>
          <w:rFonts w:ascii="Calibri" w:hAnsi="Calibri"/>
          <w:b/>
          <w:color w:val="C8102E"/>
          <w:sz w:val="23"/>
        </w:rPr>
        <w:t>1.1 Contributions</w:t>
      </w:r>
    </w:p>
    <w:p>
      <w:pPr>
        <w:pStyle w:val="ListBullet"/>
        <w:spacing w:after="60"/>
        <w:ind w:left="397"/>
      </w:pPr>
      <w:r>
        <w:rPr>
          <w:rFonts w:ascii="Calibri" w:hAnsi="Calibri"/>
          <w:color w:val="1A1A1A"/>
          <w:sz w:val="21"/>
        </w:rPr>
        <w:t>A single-file React architecture (~6,500 lines) that compiles to one self-contained ~890 KB HTML file (~194 KB gzip), readable top-to-bottom and deployable as a static asset.</w:t>
      </w:r>
    </w:p>
    <w:p>
      <w:pPr>
        <w:pStyle w:val="ListBullet"/>
        <w:spacing w:after="60"/>
        <w:ind w:left="397"/>
      </w:pPr>
      <w:r>
        <w:rPr>
          <w:rFonts w:ascii="Calibri" w:hAnsi="Calibri"/>
          <w:color w:val="1A1A1A"/>
          <w:sz w:val="21"/>
        </w:rPr>
        <w:t>Thirteen step-based workflow wizards spanning the key business-banking operations, each forking by entity type and signing rule.</w:t>
      </w:r>
    </w:p>
    <w:p>
      <w:pPr>
        <w:pStyle w:val="ListBullet"/>
        <w:spacing w:after="60"/>
        <w:ind w:left="397"/>
      </w:pPr>
      <w:r>
        <w:rPr>
          <w:rFonts w:ascii="Calibri" w:hAnsi="Calibri"/>
          <w:color w:val="1A1A1A"/>
          <w:sz w:val="21"/>
        </w:rPr>
        <w:t>Embedded controls: dual authorisation with personal-PIN signing (SCA), working-day-aware 24-hour cooling-off, Confirmation of Payee, KYC/KYB, and an FCA DISP-compliant complaint flow.</w:t>
      </w:r>
    </w:p>
    <w:p>
      <w:pPr>
        <w:pStyle w:val="ListBullet"/>
        <w:spacing w:after="60"/>
        <w:ind w:left="397"/>
      </w:pPr>
      <w:r>
        <w:rPr>
          <w:rFonts w:ascii="Calibri" w:hAnsi="Calibri"/>
          <w:color w:val="1A1A1A"/>
          <w:sz w:val="21"/>
        </w:rPr>
        <w:t>A seven-entity model and three-tier mandate engine (Any-1 / Any-2 / All) that drives whether a workflow needs co-signers or a cooling-off period.</w:t>
      </w:r>
    </w:p>
    <w:p>
      <w:pPr>
        <w:pStyle w:val="ListBullet"/>
        <w:spacing w:after="60"/>
        <w:ind w:left="397"/>
      </w:pPr>
      <w:r>
        <w:rPr>
          <w:rFonts w:ascii="Calibri" w:hAnsi="Calibri"/>
          <w:color w:val="1A1A1A"/>
          <w:sz w:val="21"/>
        </w:rPr>
        <w:t>An immutable, actor-and-timestamp audit trail aligned to FCA SYSC 9 — the demonstrability evidence the Senior Managers Regime expects [3].</w:t>
      </w:r>
    </w:p>
    <w:p>
      <w:pPr>
        <w:pStyle w:val="ListBullet"/>
        <w:spacing w:after="60"/>
        <w:ind w:left="397"/>
      </w:pPr>
      <w:r>
        <w:rPr>
          <w:rFonts w:ascii="Calibri" w:hAnsi="Calibri"/>
          <w:color w:val="1A1A1A"/>
          <w:sz w:val="21"/>
        </w:rPr>
        <w:t>A consistent design system (WCAG 2.1 AA contrast, focus-visible, tabular figures) enforced by a six-station pre-commit review process.</w:t>
      </w:r>
    </w:p>
    <w:p>
      <w:pPr>
        <w:spacing w:before="280" w:after="80"/>
        <w:pBdr>
          <w:bottom w:val="single" w:sz="6" w:space="4" w:color="C8102E"/>
        </w:pBdr>
      </w:pPr>
      <w:r>
        <w:rPr>
          <w:rFonts w:ascii="Calibri" w:hAnsi="Calibri"/>
          <w:b/>
          <w:color w:val="1A1A1A"/>
          <w:sz w:val="28"/>
        </w:rPr>
        <w:t>2 Background and Regulatory Context</w:t>
      </w:r>
    </w:p>
    <w:p>
      <w:pPr>
        <w:spacing w:before="200" w:after="60"/>
      </w:pPr>
      <w:r>
        <w:rPr>
          <w:rFonts w:ascii="Calibri" w:hAnsi="Calibri"/>
          <w:b/>
          <w:color w:val="C8102E"/>
          <w:sz w:val="23"/>
        </w:rPr>
        <w:t>2.1 Strong Customer Authentication and dual authorisation</w:t>
      </w:r>
    </w:p>
    <w:p>
      <w:pPr>
        <w:spacing w:before="0" w:after="120"/>
        <w:jc w:val="left"/>
      </w:pPr>
      <w:r>
        <w:rPr>
          <w:rFonts w:ascii="Calibri" w:hAnsi="Calibri"/>
          <w:b w:val="0"/>
          <w:i w:val="0"/>
          <w:color w:val="1A1A1A"/>
          <w:sz w:val="21"/>
        </w:rPr>
        <w:t>Payment and mandate actions are authorised under PSD2 Regulatory Technical Standards Art. 97 [4]. The prototype models this as a per-account signing rule and a personal-PIN signing step, with a six-tier step-up matrix escalating to biometric and Voice ID for higher-risk actions.</w:t>
      </w:r>
    </w:p>
    <w:p>
      <w:pPr>
        <w:spacing w:before="200" w:after="60"/>
      </w:pPr>
      <w:r>
        <w:rPr>
          <w:rFonts w:ascii="Calibri" w:hAnsi="Calibri"/>
          <w:b/>
          <w:color w:val="C8102E"/>
          <w:sz w:val="23"/>
        </w:rPr>
        <w:t>2.2 Confirmation of Payee and payment safety</w:t>
      </w:r>
    </w:p>
    <w:p>
      <w:pPr>
        <w:spacing w:before="0" w:after="120"/>
        <w:jc w:val="left"/>
      </w:pPr>
      <w:r>
        <w:rPr>
          <w:rFonts w:ascii="Calibri" w:hAnsi="Calibri"/>
          <w:b w:val="0"/>
          <w:i w:val="0"/>
          <w:color w:val="1A1A1A"/>
          <w:sz w:val="21"/>
        </w:rPr>
        <w:t>Before any payment leaves, a Confirmation of Payee check verifies the payee name against the account, with an explicit override path that cannot be skipped silently (PSR / SI 2019/1215) [5]. APP-fraud reimbursement obligations under PSR PS23/3 frame the complaint and fraud paths [6].</w:t>
      </w:r>
    </w:p>
    <w:p>
      <w:pPr>
        <w:spacing w:before="200" w:after="60"/>
      </w:pPr>
      <w:r>
        <w:rPr>
          <w:rFonts w:ascii="Calibri" w:hAnsi="Calibri"/>
          <w:b/>
          <w:color w:val="C8102E"/>
          <w:sz w:val="23"/>
        </w:rPr>
        <w:t>2.3 Cooling-off, Consumer Duty and complaints</w:t>
      </w:r>
    </w:p>
    <w:p>
      <w:pPr>
        <w:spacing w:before="0" w:after="120"/>
        <w:jc w:val="left"/>
      </w:pPr>
      <w:r>
        <w:rPr>
          <w:rFonts w:ascii="Calibri" w:hAnsi="Calibri"/>
          <w:b w:val="0"/>
          <w:i w:val="0"/>
          <w:color w:val="1A1A1A"/>
          <w:sz w:val="21"/>
        </w:rPr>
        <w:t>High-impact actions carry a 24-working-hour cooling-off period (FCA BCOBS 4A) during which the customer can cancel without penalty; the timer pauses over weekends and bank holidays. The complaint workflow follows FCA DISP — eligible-complainant checks, escalation triage and FOS signposting — consistent with the Consumer Duty obligation to deliver good outcomes [1,7].</w:t>
      </w:r>
    </w:p>
    <w:p>
      <w:pPr>
        <w:spacing w:before="200" w:after="60"/>
      </w:pPr>
      <w:r>
        <w:rPr>
          <w:rFonts w:ascii="Calibri" w:hAnsi="Calibri"/>
          <w:b/>
          <w:color w:val="C8102E"/>
          <w:sz w:val="23"/>
        </w:rPr>
        <w:t>2.4 The single-file architecture decision</w:t>
      </w:r>
    </w:p>
    <w:p>
      <w:pPr>
        <w:spacing w:before="0" w:after="120"/>
        <w:jc w:val="left"/>
      </w:pPr>
      <w:r>
        <w:rPr>
          <w:rFonts w:ascii="Calibri" w:hAnsi="Calibri"/>
          <w:b w:val="0"/>
          <w:i w:val="0"/>
          <w:color w:val="1A1A1A"/>
          <w:sz w:val="21"/>
        </w:rPr>
        <w:t>A central design question separates a defensible prototype from a fragile one. The obvious answer to "make it production-shaped" — split into modules behind a backend — is the wrong one for a demonstration whose value is being read and understood end-to-end. We therefore keep the whole product in one file, accept the trade-off explicitly (§7), and document the production path (§7) rather than pretend the prototype is the product.</w:t>
      </w:r>
    </w:p>
    <w:p>
      <w:pPr>
        <w:spacing w:before="280" w:after="80"/>
        <w:pBdr>
          <w:bottom w:val="single" w:sz="6" w:space="4" w:color="C8102E"/>
        </w:pBdr>
      </w:pPr>
      <w:r>
        <w:rPr>
          <w:rFonts w:ascii="Calibri" w:hAnsi="Calibri"/>
          <w:b/>
          <w:color w:val="1A1A1A"/>
          <w:sz w:val="28"/>
        </w:rPr>
        <w:t>3 System Overview and Design Principles</w:t>
      </w:r>
    </w:p>
    <w:p>
      <w:pPr>
        <w:spacing w:before="0" w:after="120"/>
        <w:jc w:val="left"/>
      </w:pPr>
      <w:r>
        <w:rPr>
          <w:rFonts w:ascii="Calibri" w:hAnsi="Calibri"/>
          <w:b w:val="0"/>
          <w:i w:val="0"/>
          <w:color w:val="1A1A1A"/>
          <w:sz w:val="21"/>
        </w:rPr>
        <w:t>The prototype is organised around three principles. Front-end by default: it runs with no network access and no backend, so it can be demonstrated anywhere. One readable artefact: the entire product is a single React component, so a reviewer can follow every workflow without navigating modules. Compliance in the flow: each control is rendered as part of the workflow that needs it, with the governing regulation named in the UI.</w:t>
      </w:r>
    </w:p>
    <w:p>
      <w:pPr>
        <w:spacing w:before="60" w:after="200"/>
      </w:pPr>
      <w:r>
        <w:rPr>
          <w:rFonts w:ascii="Calibri" w:hAnsi="Calibri"/>
          <w:i/>
          <w:color w:val="666666"/>
          <w:sz w:val="17"/>
        </w:rPr>
        <w:t>Figure 1. The prototype is one React component compiled to a single HTML file; a shared state tree feeds two render shells (mobile bottom-nav and desktop sidebar) that present the same screens and workflow overlays.</w:t>
      </w:r>
    </w:p>
    <w:p>
      <w:pPr>
        <w:spacing w:before="280" w:after="80"/>
        <w:pBdr>
          <w:bottom w:val="single" w:sz="6" w:space="4" w:color="C8102E"/>
        </w:pBdr>
      </w:pPr>
      <w:r>
        <w:rPr>
          <w:rFonts w:ascii="Calibri" w:hAnsi="Calibri"/>
          <w:b/>
          <w:color w:val="1A1A1A"/>
          <w:sz w:val="28"/>
        </w:rPr>
        <w:t>4 Application Architecture</w:t>
      </w:r>
    </w:p>
    <w:p>
      <w:pPr>
        <w:spacing w:before="200" w:after="60"/>
      </w:pPr>
      <w:r>
        <w:rPr>
          <w:rFonts w:ascii="Calibri" w:hAnsi="Calibri"/>
          <w:b/>
          <w:color w:val="C8102E"/>
          <w:sz w:val="23"/>
        </w:rPr>
        <w:t>4.1 Single-component structure</w:t>
      </w:r>
    </w:p>
    <w:p>
      <w:pPr>
        <w:spacing w:before="0" w:after="120"/>
        <w:jc w:val="left"/>
      </w:pPr>
      <w:r>
        <w:rPr>
          <w:rFonts w:ascii="Calibri" w:hAnsi="Calibri"/>
          <w:b w:val="0"/>
          <w:i w:val="0"/>
          <w:color w:val="1A1A1A"/>
          <w:sz w:val="21"/>
        </w:rPr>
        <w:t>App.jsx is one function component. All hooks are declared at the top (120+ state variables) before any logic, because the sub-components — workflow renderers, screens and sheets — are closures and cannot hold their own hooks. A reset function (closeWorkflow) clears all workflow state to prevent ghost state between flows.</w:t>
      </w:r>
    </w:p>
    <w:p>
      <w:pPr>
        <w:spacing w:before="200" w:after="60"/>
      </w:pPr>
      <w:r>
        <w:rPr>
          <w:rFonts w:ascii="Calibri" w:hAnsi="Calibri"/>
          <w:b/>
          <w:color w:val="C8102E"/>
          <w:sz w:val="23"/>
        </w:rPr>
        <w:t>4.2 Navigation model</w:t>
      </w:r>
    </w:p>
    <w:p>
      <w:pPr>
        <w:spacing w:before="0" w:after="120"/>
        <w:jc w:val="left"/>
      </w:pPr>
      <w:r>
        <w:rPr>
          <w:rFonts w:ascii="Calibri" w:hAnsi="Calibri"/>
          <w:b w:val="0"/>
          <w:i w:val="0"/>
          <w:color w:val="1A1A1A"/>
          <w:sz w:val="21"/>
        </w:rPr>
        <w:t>Three state layers compose every view: a tab (home, approve, audit, MTD, statements), a workflow overlay (one of thirteen, or none), and a step index within the active workflow. A viewMode flag switches the mobile and desktop shells while preserving all in-progress state.</w:t>
      </w:r>
    </w:p>
    <w:p>
      <w:pPr>
        <w:spacing w:before="200" w:after="60"/>
      </w:pPr>
      <w:r>
        <w:rPr>
          <w:rFonts w:ascii="Calibri" w:hAnsi="Calibri"/>
          <w:b/>
          <w:color w:val="C8102E"/>
          <w:sz w:val="23"/>
        </w:rPr>
        <w:t>4.3 Entity system</w:t>
      </w:r>
    </w:p>
    <w:p>
      <w:pPr>
        <w:spacing w:before="0" w:after="120"/>
        <w:jc w:val="left"/>
      </w:pPr>
      <w:r>
        <w:rPr>
          <w:rFonts w:ascii="Calibri" w:hAnsi="Calibri"/>
          <w:b w:val="0"/>
          <w:i w:val="0"/>
          <w:color w:val="1A1A1A"/>
          <w:sz w:val="21"/>
        </w:rPr>
        <w:t>A static map configures seven entity types; the active type re-derives labels, required documents, registration numbers, the accounts list and mandate defaults (Table 1).</w:t>
      </w:r>
    </w:p>
    <w:tbl>
      <w:tblPr>
        <w:tblStyle w:val="TableGrid"/>
        <w:tblW w:type="auto" w:w="0"/>
        <w:jc w:val="center"/>
        <w:tblLook w:firstColumn="1" w:firstRow="1" w:lastColumn="0" w:lastRow="0" w:noHBand="0" w:noVBand="1" w:val="04A0"/>
      </w:tblPr>
      <w:tblGrid>
        <w:gridCol w:w="1837"/>
        <w:gridCol w:w="1837"/>
        <w:gridCol w:w="1837"/>
        <w:gridCol w:w="1837"/>
        <w:gridCol w:w="1837"/>
      </w:tblGrid>
      <w:tr>
        <w:tc>
          <w:tcPr>
            <w:tcW w:type="dxa" w:w="2041"/>
            <w:shd w:val="clear" w:fill="C8102E"/>
          </w:tcPr>
          <w:p>
            <w:pPr>
              <w:spacing w:after="20"/>
            </w:pPr>
            <w:r>
              <w:rPr>
                <w:rFonts w:ascii="Calibri" w:hAnsi="Calibri"/>
                <w:b/>
                <w:color w:val="FFFFFF"/>
                <w:sz w:val="17"/>
              </w:rPr>
              <w:t>Entity type</w:t>
            </w:r>
          </w:p>
        </w:tc>
        <w:tc>
          <w:tcPr>
            <w:tcW w:type="dxa" w:w="1474"/>
            <w:shd w:val="clear" w:fill="C8102E"/>
          </w:tcPr>
          <w:p>
            <w:pPr>
              <w:spacing w:after="20"/>
            </w:pPr>
            <w:r>
              <w:rPr>
                <w:rFonts w:ascii="Calibri" w:hAnsi="Calibri"/>
                <w:b/>
                <w:color w:val="FFFFFF"/>
                <w:sz w:val="17"/>
              </w:rPr>
              <w:t>Mandate default</w:t>
            </w:r>
          </w:p>
        </w:tc>
        <w:tc>
          <w:tcPr>
            <w:tcW w:type="dxa" w:w="1474"/>
            <w:shd w:val="clear" w:fill="C8102E"/>
          </w:tcPr>
          <w:p>
            <w:pPr>
              <w:spacing w:after="20"/>
            </w:pPr>
            <w:r>
              <w:rPr>
                <w:rFonts w:ascii="Calibri" w:hAnsi="Calibri"/>
                <w:b/>
                <w:color w:val="FFFFFF"/>
                <w:sz w:val="17"/>
              </w:rPr>
              <w:t>Principal</w:t>
            </w:r>
          </w:p>
        </w:tc>
        <w:tc>
          <w:tcPr>
            <w:tcW w:type="dxa" w:w="1587"/>
            <w:shd w:val="clear" w:fill="C8102E"/>
          </w:tcPr>
          <w:p>
            <w:pPr>
              <w:spacing w:after="20"/>
            </w:pPr>
            <w:r>
              <w:rPr>
                <w:rFonts w:ascii="Calibri" w:hAnsi="Calibri"/>
                <w:b/>
                <w:color w:val="FFFFFF"/>
                <w:sz w:val="17"/>
              </w:rPr>
              <w:t>Companies House</w:t>
            </w:r>
          </w:p>
        </w:tc>
        <w:tc>
          <w:tcPr>
            <w:tcW w:type="dxa" w:w="1701"/>
            <w:shd w:val="clear" w:fill="C8102E"/>
          </w:tcPr>
          <w:p>
            <w:pPr>
              <w:spacing w:after="20"/>
            </w:pPr>
            <w:r>
              <w:rPr>
                <w:rFonts w:ascii="Calibri" w:hAnsi="Calibri"/>
                <w:b/>
                <w:color w:val="FFFFFF"/>
                <w:sz w:val="17"/>
              </w:rPr>
              <w:t>Board minutes</w:t>
            </w:r>
          </w:p>
        </w:tc>
      </w:tr>
      <w:tr>
        <w:tc>
          <w:tcPr>
            <w:tcW w:type="dxa" w:w="2041"/>
            <w:shd w:val="clear" w:fill="F7F7F6"/>
          </w:tcPr>
          <w:p>
            <w:pPr>
              <w:spacing w:after="20"/>
            </w:pPr>
            <w:r>
              <w:rPr>
                <w:rFonts w:ascii="Calibri" w:hAnsi="Calibri"/>
                <w:color w:val="1A1A1A"/>
                <w:sz w:val="17"/>
              </w:rPr>
              <w:t>Sole trader</w:t>
            </w:r>
          </w:p>
        </w:tc>
        <w:tc>
          <w:tcPr>
            <w:tcW w:type="dxa" w:w="1474"/>
            <w:shd w:val="clear" w:fill="F7F7F6"/>
          </w:tcPr>
          <w:p>
            <w:pPr>
              <w:spacing w:after="20"/>
            </w:pPr>
            <w:r>
              <w:rPr>
                <w:rFonts w:ascii="Calibri" w:hAnsi="Calibri"/>
                <w:color w:val="1A1A1A"/>
                <w:sz w:val="17"/>
              </w:rPr>
              <w:t>Any-1</w:t>
            </w:r>
          </w:p>
        </w:tc>
        <w:tc>
          <w:tcPr>
            <w:tcW w:type="dxa" w:w="1474"/>
            <w:shd w:val="clear" w:fill="F7F7F6"/>
          </w:tcPr>
          <w:p>
            <w:pPr>
              <w:spacing w:after="20"/>
            </w:pPr>
            <w:r>
              <w:rPr>
                <w:rFonts w:ascii="Calibri" w:hAnsi="Calibri"/>
                <w:color w:val="1A1A1A"/>
                <w:sz w:val="17"/>
              </w:rPr>
              <w:t>Sole trader</w:t>
            </w:r>
          </w:p>
        </w:tc>
        <w:tc>
          <w:tcPr>
            <w:tcW w:type="dxa" w:w="1587"/>
            <w:shd w:val="clear" w:fill="F7F7F6"/>
          </w:tcPr>
          <w:p>
            <w:pPr>
              <w:spacing w:after="20"/>
            </w:pPr>
            <w:r>
              <w:rPr>
                <w:rFonts w:ascii="Calibri" w:hAnsi="Calibri"/>
                <w:color w:val="1A1A1A"/>
                <w:sz w:val="17"/>
              </w:rPr>
              <w:t>No</w:t>
            </w:r>
          </w:p>
        </w:tc>
        <w:tc>
          <w:tcPr>
            <w:tcW w:type="dxa" w:w="1701"/>
            <w:shd w:val="clear" w:fill="F7F7F6"/>
          </w:tcPr>
          <w:p>
            <w:pPr>
              <w:spacing w:after="20"/>
            </w:pPr>
            <w:r>
              <w:rPr>
                <w:rFonts w:ascii="Calibri" w:hAnsi="Calibri"/>
                <w:color w:val="1A1A1A"/>
                <w:sz w:val="17"/>
              </w:rPr>
              <w:t>No</w:t>
            </w:r>
          </w:p>
        </w:tc>
      </w:tr>
      <w:tr>
        <w:tc>
          <w:tcPr>
            <w:tcW w:type="dxa" w:w="2041"/>
          </w:tcPr>
          <w:p>
            <w:pPr>
              <w:spacing w:after="20"/>
            </w:pPr>
            <w:r>
              <w:rPr>
                <w:rFonts w:ascii="Calibri" w:hAnsi="Calibri"/>
                <w:color w:val="1A1A1A"/>
                <w:sz w:val="17"/>
              </w:rPr>
              <w:t>Partnership</w:t>
            </w:r>
          </w:p>
        </w:tc>
        <w:tc>
          <w:tcPr>
            <w:tcW w:type="dxa" w:w="1474"/>
          </w:tcPr>
          <w:p>
            <w:pPr>
              <w:spacing w:after="20"/>
            </w:pPr>
            <w:r>
              <w:rPr>
                <w:rFonts w:ascii="Calibri" w:hAnsi="Calibri"/>
                <w:color w:val="1A1A1A"/>
                <w:sz w:val="17"/>
              </w:rPr>
              <w:t>Any-1 / Any-2</w:t>
            </w:r>
          </w:p>
        </w:tc>
        <w:tc>
          <w:tcPr>
            <w:tcW w:type="dxa" w:w="1474"/>
          </w:tcPr>
          <w:p>
            <w:pPr>
              <w:spacing w:after="20"/>
            </w:pPr>
            <w:r>
              <w:rPr>
                <w:rFonts w:ascii="Calibri" w:hAnsi="Calibri"/>
                <w:color w:val="1A1A1A"/>
                <w:sz w:val="17"/>
              </w:rPr>
              <w:t>Partner</w:t>
            </w:r>
          </w:p>
        </w:tc>
        <w:tc>
          <w:tcPr>
            <w:tcW w:type="dxa" w:w="1587"/>
          </w:tcPr>
          <w:p>
            <w:pPr>
              <w:spacing w:after="20"/>
            </w:pPr>
            <w:r>
              <w:rPr>
                <w:rFonts w:ascii="Calibri" w:hAnsi="Calibri"/>
                <w:color w:val="1A1A1A"/>
                <w:sz w:val="17"/>
              </w:rPr>
              <w:t>No</w:t>
            </w:r>
          </w:p>
        </w:tc>
        <w:tc>
          <w:tcPr>
            <w:tcW w:type="dxa" w:w="1701"/>
          </w:tcPr>
          <w:p>
            <w:pPr>
              <w:spacing w:after="20"/>
            </w:pPr>
            <w:r>
              <w:rPr>
                <w:rFonts w:ascii="Calibri" w:hAnsi="Calibri"/>
                <w:color w:val="1A1A1A"/>
                <w:sz w:val="17"/>
              </w:rPr>
              <w:t>On rename (RM)</w:t>
            </w:r>
          </w:p>
        </w:tc>
      </w:tr>
      <w:tr>
        <w:tc>
          <w:tcPr>
            <w:tcW w:type="dxa" w:w="2041"/>
            <w:shd w:val="clear" w:fill="F7F7F6"/>
          </w:tcPr>
          <w:p>
            <w:pPr>
              <w:spacing w:after="20"/>
            </w:pPr>
            <w:r>
              <w:rPr>
                <w:rFonts w:ascii="Calibri" w:hAnsi="Calibri"/>
                <w:color w:val="1A1A1A"/>
                <w:sz w:val="17"/>
              </w:rPr>
              <w:t>Limited company</w:t>
            </w:r>
          </w:p>
        </w:tc>
        <w:tc>
          <w:tcPr>
            <w:tcW w:type="dxa" w:w="1474"/>
            <w:shd w:val="clear" w:fill="F7F7F6"/>
          </w:tcPr>
          <w:p>
            <w:pPr>
              <w:spacing w:after="20"/>
            </w:pPr>
            <w:r>
              <w:rPr>
                <w:rFonts w:ascii="Calibri" w:hAnsi="Calibri"/>
                <w:color w:val="1A1A1A"/>
                <w:sz w:val="17"/>
              </w:rPr>
              <w:t>Any-2</w:t>
            </w:r>
          </w:p>
        </w:tc>
        <w:tc>
          <w:tcPr>
            <w:tcW w:type="dxa" w:w="1474"/>
            <w:shd w:val="clear" w:fill="F7F7F6"/>
          </w:tcPr>
          <w:p>
            <w:pPr>
              <w:spacing w:after="20"/>
            </w:pPr>
            <w:r>
              <w:rPr>
                <w:rFonts w:ascii="Calibri" w:hAnsi="Calibri"/>
                <w:color w:val="1A1A1A"/>
                <w:sz w:val="17"/>
              </w:rPr>
              <w:t>Director</w:t>
            </w:r>
          </w:p>
        </w:tc>
        <w:tc>
          <w:tcPr>
            <w:tcW w:type="dxa" w:w="1587"/>
            <w:shd w:val="clear" w:fill="F7F7F6"/>
          </w:tcPr>
          <w:p>
            <w:pPr>
              <w:spacing w:after="20"/>
            </w:pPr>
            <w:r>
              <w:rPr>
                <w:rFonts w:ascii="Calibri" w:hAnsi="Calibri"/>
                <w:color w:val="1A1A1A"/>
                <w:sz w:val="17"/>
              </w:rPr>
              <w:t>Yes</w:t>
            </w:r>
          </w:p>
        </w:tc>
        <w:tc>
          <w:tcPr>
            <w:tcW w:type="dxa" w:w="1701"/>
            <w:shd w:val="clear" w:fill="F7F7F6"/>
          </w:tcPr>
          <w:p>
            <w:pPr>
              <w:spacing w:after="20"/>
            </w:pPr>
            <w:r>
              <w:rPr>
                <w:rFonts w:ascii="Calibri" w:hAnsi="Calibri"/>
                <w:color w:val="1A1A1A"/>
                <w:sz w:val="17"/>
              </w:rPr>
              <w:t>No</w:t>
            </w:r>
          </w:p>
        </w:tc>
      </w:tr>
      <w:tr>
        <w:tc>
          <w:tcPr>
            <w:tcW w:type="dxa" w:w="2041"/>
          </w:tcPr>
          <w:p>
            <w:pPr>
              <w:spacing w:after="20"/>
            </w:pPr>
            <w:r>
              <w:rPr>
                <w:rFonts w:ascii="Calibri" w:hAnsi="Calibri"/>
                <w:color w:val="1A1A1A"/>
                <w:sz w:val="17"/>
              </w:rPr>
              <w:t>LLP</w:t>
            </w:r>
          </w:p>
        </w:tc>
        <w:tc>
          <w:tcPr>
            <w:tcW w:type="dxa" w:w="1474"/>
          </w:tcPr>
          <w:p>
            <w:pPr>
              <w:spacing w:after="20"/>
            </w:pPr>
            <w:r>
              <w:rPr>
                <w:rFonts w:ascii="Calibri" w:hAnsi="Calibri"/>
                <w:color w:val="1A1A1A"/>
                <w:sz w:val="17"/>
              </w:rPr>
              <w:t>Any-2</w:t>
            </w:r>
          </w:p>
        </w:tc>
        <w:tc>
          <w:tcPr>
            <w:tcW w:type="dxa" w:w="1474"/>
          </w:tcPr>
          <w:p>
            <w:pPr>
              <w:spacing w:after="20"/>
            </w:pPr>
            <w:r>
              <w:rPr>
                <w:rFonts w:ascii="Calibri" w:hAnsi="Calibri"/>
                <w:color w:val="1A1A1A"/>
                <w:sz w:val="17"/>
              </w:rPr>
              <w:t>Member</w:t>
            </w:r>
          </w:p>
        </w:tc>
        <w:tc>
          <w:tcPr>
            <w:tcW w:type="dxa" w:w="1587"/>
          </w:tcPr>
          <w:p>
            <w:pPr>
              <w:spacing w:after="20"/>
            </w:pPr>
            <w:r>
              <w:rPr>
                <w:rFonts w:ascii="Calibri" w:hAnsi="Calibri"/>
                <w:color w:val="1A1A1A"/>
                <w:sz w:val="17"/>
              </w:rPr>
              <w:t>Yes (LLP no.)</w:t>
            </w:r>
          </w:p>
        </w:tc>
        <w:tc>
          <w:tcPr>
            <w:tcW w:type="dxa" w:w="1701"/>
          </w:tcPr>
          <w:p>
            <w:pPr>
              <w:spacing w:after="20"/>
            </w:pPr>
            <w:r>
              <w:rPr>
                <w:rFonts w:ascii="Calibri" w:hAnsi="Calibri"/>
                <w:color w:val="1A1A1A"/>
                <w:sz w:val="17"/>
              </w:rPr>
              <w:t>No</w:t>
            </w:r>
          </w:p>
        </w:tc>
      </w:tr>
      <w:tr>
        <w:tc>
          <w:tcPr>
            <w:tcW w:type="dxa" w:w="2041"/>
            <w:shd w:val="clear" w:fill="F7F7F6"/>
          </w:tcPr>
          <w:p>
            <w:pPr>
              <w:spacing w:after="20"/>
            </w:pPr>
            <w:r>
              <w:rPr>
                <w:rFonts w:ascii="Calibri" w:hAnsi="Calibri"/>
                <w:color w:val="1A1A1A"/>
                <w:sz w:val="17"/>
              </w:rPr>
              <w:t>Registered charity</w:t>
            </w:r>
          </w:p>
        </w:tc>
        <w:tc>
          <w:tcPr>
            <w:tcW w:type="dxa" w:w="1474"/>
            <w:shd w:val="clear" w:fill="F7F7F6"/>
          </w:tcPr>
          <w:p>
            <w:pPr>
              <w:spacing w:after="20"/>
            </w:pPr>
            <w:r>
              <w:rPr>
                <w:rFonts w:ascii="Calibri" w:hAnsi="Calibri"/>
                <w:color w:val="1A1A1A"/>
                <w:sz w:val="17"/>
              </w:rPr>
              <w:t>All</w:t>
            </w:r>
          </w:p>
        </w:tc>
        <w:tc>
          <w:tcPr>
            <w:tcW w:type="dxa" w:w="1474"/>
            <w:shd w:val="clear" w:fill="F7F7F6"/>
          </w:tcPr>
          <w:p>
            <w:pPr>
              <w:spacing w:after="20"/>
            </w:pPr>
            <w:r>
              <w:rPr>
                <w:rFonts w:ascii="Calibri" w:hAnsi="Calibri"/>
                <w:color w:val="1A1A1A"/>
                <w:sz w:val="17"/>
              </w:rPr>
              <w:t>Trustee</w:t>
            </w:r>
          </w:p>
        </w:tc>
        <w:tc>
          <w:tcPr>
            <w:tcW w:type="dxa" w:w="1587"/>
            <w:shd w:val="clear" w:fill="F7F7F6"/>
          </w:tcPr>
          <w:p>
            <w:pPr>
              <w:spacing w:after="20"/>
            </w:pPr>
            <w:r>
              <w:rPr>
                <w:rFonts w:ascii="Calibri" w:hAnsi="Calibri"/>
                <w:color w:val="1A1A1A"/>
                <w:sz w:val="17"/>
              </w:rPr>
              <w:t>Charity Comm.</w:t>
            </w:r>
          </w:p>
        </w:tc>
        <w:tc>
          <w:tcPr>
            <w:tcW w:type="dxa" w:w="1701"/>
            <w:shd w:val="clear" w:fill="F7F7F6"/>
          </w:tcPr>
          <w:p>
            <w:pPr>
              <w:spacing w:after="20"/>
            </w:pPr>
            <w:r>
              <w:rPr>
                <w:rFonts w:ascii="Calibri" w:hAnsi="Calibri"/>
                <w:color w:val="1A1A1A"/>
                <w:sz w:val="17"/>
              </w:rPr>
              <w:t>Yes — all changes</w:t>
            </w:r>
          </w:p>
        </w:tc>
      </w:tr>
      <w:tr>
        <w:tc>
          <w:tcPr>
            <w:tcW w:type="dxa" w:w="2041"/>
          </w:tcPr>
          <w:p>
            <w:pPr>
              <w:spacing w:after="20"/>
            </w:pPr>
            <w:r>
              <w:rPr>
                <w:rFonts w:ascii="Calibri" w:hAnsi="Calibri"/>
                <w:color w:val="1A1A1A"/>
                <w:sz w:val="17"/>
              </w:rPr>
              <w:t>Club</w:t>
            </w:r>
          </w:p>
        </w:tc>
        <w:tc>
          <w:tcPr>
            <w:tcW w:type="dxa" w:w="1474"/>
          </w:tcPr>
          <w:p>
            <w:pPr>
              <w:spacing w:after="20"/>
            </w:pPr>
            <w:r>
              <w:rPr>
                <w:rFonts w:ascii="Calibri" w:hAnsi="Calibri"/>
                <w:color w:val="1A1A1A"/>
                <w:sz w:val="17"/>
              </w:rPr>
              <w:t>All</w:t>
            </w:r>
          </w:p>
        </w:tc>
        <w:tc>
          <w:tcPr>
            <w:tcW w:type="dxa" w:w="1474"/>
          </w:tcPr>
          <w:p>
            <w:pPr>
              <w:spacing w:after="20"/>
            </w:pPr>
            <w:r>
              <w:rPr>
                <w:rFonts w:ascii="Calibri" w:hAnsi="Calibri"/>
                <w:color w:val="1A1A1A"/>
                <w:sz w:val="17"/>
              </w:rPr>
              <w:t>Committee member</w:t>
            </w:r>
          </w:p>
        </w:tc>
        <w:tc>
          <w:tcPr>
            <w:tcW w:type="dxa" w:w="1587"/>
          </w:tcPr>
          <w:p>
            <w:pPr>
              <w:spacing w:after="20"/>
            </w:pPr>
            <w:r>
              <w:rPr>
                <w:rFonts w:ascii="Calibri" w:hAnsi="Calibri"/>
                <w:color w:val="1A1A1A"/>
                <w:sz w:val="17"/>
              </w:rPr>
              <w:t>No</w:t>
            </w:r>
          </w:p>
        </w:tc>
        <w:tc>
          <w:tcPr>
            <w:tcW w:type="dxa" w:w="1701"/>
          </w:tcPr>
          <w:p>
            <w:pPr>
              <w:spacing w:after="20"/>
            </w:pPr>
            <w:r>
              <w:rPr>
                <w:rFonts w:ascii="Calibri" w:hAnsi="Calibri"/>
                <w:color w:val="1A1A1A"/>
                <w:sz w:val="17"/>
              </w:rPr>
              <w:t>Yes — all changes</w:t>
            </w:r>
          </w:p>
        </w:tc>
      </w:tr>
      <w:tr>
        <w:tc>
          <w:tcPr>
            <w:tcW w:type="dxa" w:w="2041"/>
            <w:shd w:val="clear" w:fill="F7F7F6"/>
          </w:tcPr>
          <w:p>
            <w:pPr>
              <w:spacing w:after="20"/>
            </w:pPr>
            <w:r>
              <w:rPr>
                <w:rFonts w:ascii="Calibri" w:hAnsi="Calibri"/>
                <w:color w:val="1A1A1A"/>
                <w:sz w:val="17"/>
              </w:rPr>
              <w:t>Society</w:t>
            </w:r>
          </w:p>
        </w:tc>
        <w:tc>
          <w:tcPr>
            <w:tcW w:type="dxa" w:w="1474"/>
            <w:shd w:val="clear" w:fill="F7F7F6"/>
          </w:tcPr>
          <w:p>
            <w:pPr>
              <w:spacing w:after="20"/>
            </w:pPr>
            <w:r>
              <w:rPr>
                <w:rFonts w:ascii="Calibri" w:hAnsi="Calibri"/>
                <w:color w:val="1A1A1A"/>
                <w:sz w:val="17"/>
              </w:rPr>
              <w:t>All</w:t>
            </w:r>
          </w:p>
        </w:tc>
        <w:tc>
          <w:tcPr>
            <w:tcW w:type="dxa" w:w="1474"/>
            <w:shd w:val="clear" w:fill="F7F7F6"/>
          </w:tcPr>
          <w:p>
            <w:pPr>
              <w:spacing w:after="20"/>
            </w:pPr>
            <w:r>
              <w:rPr>
                <w:rFonts w:ascii="Calibri" w:hAnsi="Calibri"/>
                <w:color w:val="1A1A1A"/>
                <w:sz w:val="17"/>
              </w:rPr>
              <w:t>Committee member</w:t>
            </w:r>
          </w:p>
        </w:tc>
        <w:tc>
          <w:tcPr>
            <w:tcW w:type="dxa" w:w="1587"/>
            <w:shd w:val="clear" w:fill="F7F7F6"/>
          </w:tcPr>
          <w:p>
            <w:pPr>
              <w:spacing w:after="20"/>
            </w:pPr>
            <w:r>
              <w:rPr>
                <w:rFonts w:ascii="Calibri" w:hAnsi="Calibri"/>
                <w:color w:val="1A1A1A"/>
                <w:sz w:val="17"/>
              </w:rPr>
              <w:t>No</w:t>
            </w:r>
          </w:p>
        </w:tc>
        <w:tc>
          <w:tcPr>
            <w:tcW w:type="dxa" w:w="1701"/>
            <w:shd w:val="clear" w:fill="F7F7F6"/>
          </w:tcPr>
          <w:p>
            <w:pPr>
              <w:spacing w:after="20"/>
            </w:pPr>
            <w:r>
              <w:rPr>
                <w:rFonts w:ascii="Calibri" w:hAnsi="Calibri"/>
                <w:color w:val="1A1A1A"/>
                <w:sz w:val="17"/>
              </w:rPr>
              <w:t>Yes — all changes</w:t>
            </w:r>
          </w:p>
        </w:tc>
      </w:tr>
    </w:tbl>
    <w:p>
      <w:pPr>
        <w:spacing w:before="60" w:after="200"/>
      </w:pPr>
      <w:r>
        <w:rPr>
          <w:rFonts w:ascii="Calibri" w:hAnsi="Calibri"/>
          <w:i/>
          <w:color w:val="666666"/>
          <w:sz w:val="17"/>
        </w:rPr>
        <w:t>Table 1. The seven entity types and the configuration each forks. The mandate default drives whether a workflow requires co-signers and a cooling-off period.</w:t>
      </w:r>
    </w:p>
    <w:p>
      <w:pPr>
        <w:spacing w:before="200" w:after="60"/>
      </w:pPr>
      <w:r>
        <w:rPr>
          <w:rFonts w:ascii="Calibri" w:hAnsi="Calibri"/>
          <w:b/>
          <w:color w:val="C8102E"/>
          <w:sz w:val="23"/>
        </w:rPr>
        <w:t>4.4 Mandate rules</w:t>
      </w:r>
    </w:p>
    <w:p>
      <w:pPr>
        <w:spacing w:before="0" w:after="120"/>
        <w:jc w:val="left"/>
      </w:pPr>
      <w:r>
        <w:rPr>
          <w:rFonts w:ascii="Calibri" w:hAnsi="Calibri"/>
          <w:b w:val="0"/>
          <w:i w:val="0"/>
          <w:color w:val="1A1A1A"/>
          <w:sz w:val="21"/>
        </w:rPr>
        <w:t>Each account carries a signing rule — Any-1, Any-2 or All. A helper, getMandateFor(accounts), selects the strictest rule across the selected accounts (All &gt; Any-2 &gt; Any-1). The result determines whether a workflow requires a co-signer and/or triggers the 24-hour cooling-off period.</w:t>
      </w:r>
    </w:p>
    <w:p>
      <w:pPr>
        <w:spacing w:before="200" w:after="60"/>
      </w:pPr>
      <w:r>
        <w:rPr>
          <w:rFonts w:ascii="Calibri" w:hAnsi="Calibri"/>
          <w:b/>
          <w:color w:val="C8102E"/>
          <w:sz w:val="23"/>
        </w:rPr>
        <w:t>4.5 Design system</w:t>
      </w:r>
    </w:p>
    <w:p>
      <w:pPr>
        <w:spacing w:before="0" w:after="120"/>
        <w:jc w:val="left"/>
      </w:pPr>
      <w:r>
        <w:rPr>
          <w:rFonts w:ascii="Calibri" w:hAnsi="Calibri"/>
          <w:b w:val="0"/>
          <w:i w:val="0"/>
          <w:color w:val="1A1A1A"/>
          <w:sz w:val="21"/>
        </w:rPr>
        <w:t>Tailwind utilities with a brand palette (#c8102e red, #faf6ef warm background, stone neutrals) and an inline CSS layer for brand cards and animations. The system enforces WCAG 2.1 AA contrast, a visible focus ring on every interactive element, one primary call-to-action per view, and tabular figures on all monetary amounts [8].</w:t>
      </w:r>
    </w:p>
    <w:p>
      <w:pPr>
        <w:spacing w:before="280" w:after="80"/>
        <w:pBdr>
          <w:bottom w:val="single" w:sz="6" w:space="4" w:color="C8102E"/>
        </w:pBdr>
      </w:pPr>
      <w:r>
        <w:rPr>
          <w:rFonts w:ascii="Calibri" w:hAnsi="Calibri"/>
          <w:b/>
          <w:color w:val="1A1A1A"/>
          <w:sz w:val="28"/>
        </w:rPr>
        <w:t>5 Workflows</w:t>
      </w:r>
    </w:p>
    <w:p>
      <w:pPr>
        <w:spacing w:before="0" w:after="120"/>
        <w:jc w:val="left"/>
      </w:pPr>
      <w:r>
        <w:rPr>
          <w:rFonts w:ascii="Calibri" w:hAnsi="Calibri"/>
          <w:b w:val="0"/>
          <w:i w:val="0"/>
          <w:color w:val="1A1A1A"/>
          <w:sz w:val="21"/>
        </w:rPr>
        <w:t>Thirteen step-based wizards render on top of the main screens; each reads and writes the shared state tree and forks by entity and signing rule. Table 2 catalogues them.</w:t>
      </w:r>
    </w:p>
    <w:tbl>
      <w:tblPr>
        <w:tblStyle w:val="TableGrid"/>
        <w:tblW w:type="auto" w:w="0"/>
        <w:jc w:val="center"/>
        <w:tblLook w:firstColumn="1" w:firstRow="1" w:lastColumn="0" w:lastRow="0" w:noHBand="0" w:noVBand="1" w:val="04A0"/>
      </w:tblPr>
      <w:tblGrid>
        <w:gridCol w:w="3062"/>
        <w:gridCol w:w="3062"/>
        <w:gridCol w:w="3062"/>
      </w:tblGrid>
      <w:tr>
        <w:tc>
          <w:tcPr>
            <w:tcW w:type="dxa" w:w="2494"/>
            <w:shd w:val="clear" w:fill="C8102E"/>
          </w:tcPr>
          <w:p>
            <w:pPr>
              <w:spacing w:after="20"/>
            </w:pPr>
            <w:r>
              <w:rPr>
                <w:rFonts w:ascii="Calibri" w:hAnsi="Calibri"/>
                <w:b/>
                <w:color w:val="FFFFFF"/>
                <w:sz w:val="17"/>
              </w:rPr>
              <w:t>Workflow</w:t>
            </w:r>
          </w:p>
        </w:tc>
        <w:tc>
          <w:tcPr>
            <w:tcW w:type="dxa" w:w="3005"/>
            <w:shd w:val="clear" w:fill="C8102E"/>
          </w:tcPr>
          <w:p>
            <w:pPr>
              <w:spacing w:after="20"/>
            </w:pPr>
            <w:r>
              <w:rPr>
                <w:rFonts w:ascii="Calibri" w:hAnsi="Calibri"/>
                <w:b/>
                <w:color w:val="FFFFFF"/>
                <w:sz w:val="17"/>
              </w:rPr>
              <w:t>Embedded control</w:t>
            </w:r>
          </w:p>
        </w:tc>
        <w:tc>
          <w:tcPr>
            <w:tcW w:type="dxa" w:w="2041"/>
            <w:shd w:val="clear" w:fill="C8102E"/>
          </w:tcPr>
          <w:p>
            <w:pPr>
              <w:spacing w:after="20"/>
            </w:pPr>
            <w:r>
              <w:rPr>
                <w:rFonts w:ascii="Calibri" w:hAnsi="Calibri"/>
                <w:b/>
                <w:color w:val="FFFFFF"/>
                <w:sz w:val="17"/>
              </w:rPr>
              <w:t>Regulatory basis</w:t>
            </w:r>
          </w:p>
        </w:tc>
      </w:tr>
      <w:tr>
        <w:tc>
          <w:tcPr>
            <w:tcW w:type="dxa" w:w="2494"/>
            <w:shd w:val="clear" w:fill="F7F7F6"/>
          </w:tcPr>
          <w:p>
            <w:pPr>
              <w:spacing w:after="20"/>
            </w:pPr>
            <w:r>
              <w:rPr>
                <w:rFonts w:ascii="Calibri" w:hAnsi="Calibri"/>
                <w:color w:val="1A1A1A"/>
                <w:sz w:val="17"/>
              </w:rPr>
              <w:t>Account closure</w:t>
            </w:r>
          </w:p>
        </w:tc>
        <w:tc>
          <w:tcPr>
            <w:tcW w:type="dxa" w:w="3005"/>
            <w:shd w:val="clear" w:fill="F7F7F6"/>
          </w:tcPr>
          <w:p>
            <w:pPr>
              <w:spacing w:after="20"/>
            </w:pPr>
            <w:r>
              <w:rPr>
                <w:rFonts w:ascii="Calibri" w:hAnsi="Calibri"/>
                <w:color w:val="1A1A1A"/>
                <w:sz w:val="17"/>
              </w:rPr>
              <w:t>Destination CoP, credit check, cooling-off</w:t>
            </w:r>
          </w:p>
        </w:tc>
        <w:tc>
          <w:tcPr>
            <w:tcW w:type="dxa" w:w="2041"/>
            <w:shd w:val="clear" w:fill="F7F7F6"/>
          </w:tcPr>
          <w:p>
            <w:pPr>
              <w:spacing w:after="20"/>
            </w:pPr>
            <w:r>
              <w:rPr>
                <w:rFonts w:ascii="Calibri" w:hAnsi="Calibri"/>
                <w:color w:val="1A1A1A"/>
                <w:sz w:val="17"/>
              </w:rPr>
              <w:t>FCA BCOBS 4A</w:t>
            </w:r>
          </w:p>
        </w:tc>
      </w:tr>
      <w:tr>
        <w:tc>
          <w:tcPr>
            <w:tcW w:type="dxa" w:w="2494"/>
          </w:tcPr>
          <w:p>
            <w:pPr>
              <w:spacing w:after="20"/>
            </w:pPr>
            <w:r>
              <w:rPr>
                <w:rFonts w:ascii="Calibri" w:hAnsi="Calibri"/>
                <w:color w:val="1A1A1A"/>
                <w:sz w:val="17"/>
              </w:rPr>
              <w:t>Partner-unreachable escalation</w:t>
            </w:r>
          </w:p>
        </w:tc>
        <w:tc>
          <w:tcPr>
            <w:tcW w:type="dxa" w:w="3005"/>
          </w:tcPr>
          <w:p>
            <w:pPr>
              <w:spacing w:after="20"/>
            </w:pPr>
            <w:r>
              <w:rPr>
                <w:rFonts w:ascii="Calibri" w:hAnsi="Calibri"/>
                <w:color w:val="1A1A1A"/>
                <w:sz w:val="17"/>
              </w:rPr>
              <w:t>4 branches, evidence, restriction</w:t>
            </w:r>
          </w:p>
        </w:tc>
        <w:tc>
          <w:tcPr>
            <w:tcW w:type="dxa" w:w="2041"/>
          </w:tcPr>
          <w:p>
            <w:pPr>
              <w:spacing w:after="20"/>
            </w:pPr>
            <w:r>
              <w:rPr>
                <w:rFonts w:ascii="Calibri" w:hAnsi="Calibri"/>
                <w:color w:val="1A1A1A"/>
                <w:sz w:val="17"/>
              </w:rPr>
              <w:t>FCA PS22/9</w:t>
            </w:r>
          </w:p>
        </w:tc>
      </w:tr>
      <w:tr>
        <w:tc>
          <w:tcPr>
            <w:tcW w:type="dxa" w:w="2494"/>
            <w:shd w:val="clear" w:fill="F7F7F6"/>
          </w:tcPr>
          <w:p>
            <w:pPr>
              <w:spacing w:after="20"/>
            </w:pPr>
            <w:r>
              <w:rPr>
                <w:rFonts w:ascii="Calibri" w:hAnsi="Calibri"/>
                <w:color w:val="1A1A1A"/>
                <w:sz w:val="17"/>
              </w:rPr>
              <w:t>Mandate changes</w:t>
            </w:r>
          </w:p>
        </w:tc>
        <w:tc>
          <w:tcPr>
            <w:tcW w:type="dxa" w:w="3005"/>
            <w:shd w:val="clear" w:fill="F7F7F6"/>
          </w:tcPr>
          <w:p>
            <w:pPr>
              <w:spacing w:after="20"/>
            </w:pPr>
            <w:r>
              <w:rPr>
                <w:rFonts w:ascii="Calibri" w:hAnsi="Calibri"/>
                <w:color w:val="1A1A1A"/>
                <w:sz w:val="17"/>
              </w:rPr>
              <w:t>KYC/KYB, board minutes, signing rule</w:t>
            </w:r>
          </w:p>
        </w:tc>
        <w:tc>
          <w:tcPr>
            <w:tcW w:type="dxa" w:w="2041"/>
            <w:shd w:val="clear" w:fill="F7F7F6"/>
          </w:tcPr>
          <w:p>
            <w:pPr>
              <w:spacing w:after="20"/>
            </w:pPr>
            <w:r>
              <w:rPr>
                <w:rFonts w:ascii="Calibri" w:hAnsi="Calibri"/>
                <w:color w:val="1A1A1A"/>
                <w:sz w:val="17"/>
              </w:rPr>
              <w:t>MLR 2017 / JMLSG</w:t>
            </w:r>
          </w:p>
        </w:tc>
      </w:tr>
      <w:tr>
        <w:tc>
          <w:tcPr>
            <w:tcW w:type="dxa" w:w="2494"/>
          </w:tcPr>
          <w:p>
            <w:pPr>
              <w:spacing w:after="20"/>
            </w:pPr>
            <w:r>
              <w:rPr>
                <w:rFonts w:ascii="Calibri" w:hAnsi="Calibri"/>
                <w:color w:val="1A1A1A"/>
                <w:sz w:val="17"/>
              </w:rPr>
              <w:t>Bulk payments / wages</w:t>
            </w:r>
          </w:p>
        </w:tc>
        <w:tc>
          <w:tcPr>
            <w:tcW w:type="dxa" w:w="3005"/>
          </w:tcPr>
          <w:p>
            <w:pPr>
              <w:spacing w:after="20"/>
            </w:pPr>
            <w:r>
              <w:rPr>
                <w:rFonts w:ascii="Calibri" w:hAnsi="Calibri"/>
                <w:color w:val="1A1A1A"/>
                <w:sz w:val="17"/>
              </w:rPr>
              <w:t>CoP per payee, dual authorisation</w:t>
            </w:r>
          </w:p>
        </w:tc>
        <w:tc>
          <w:tcPr>
            <w:tcW w:type="dxa" w:w="2041"/>
          </w:tcPr>
          <w:p>
            <w:pPr>
              <w:spacing w:after="20"/>
            </w:pPr>
            <w:r>
              <w:rPr>
                <w:rFonts w:ascii="Calibri" w:hAnsi="Calibri"/>
                <w:color w:val="1A1A1A"/>
                <w:sz w:val="17"/>
              </w:rPr>
              <w:t>PSR; PSD2 RTS</w:t>
            </w:r>
          </w:p>
        </w:tc>
      </w:tr>
      <w:tr>
        <w:tc>
          <w:tcPr>
            <w:tcW w:type="dxa" w:w="2494"/>
            <w:shd w:val="clear" w:fill="F7F7F6"/>
          </w:tcPr>
          <w:p>
            <w:pPr>
              <w:spacing w:after="20"/>
            </w:pPr>
            <w:r>
              <w:rPr>
                <w:rFonts w:ascii="Calibri" w:hAnsi="Calibri"/>
                <w:color w:val="1A1A1A"/>
                <w:sz w:val="17"/>
              </w:rPr>
              <w:t>Business details update</w:t>
            </w:r>
          </w:p>
        </w:tc>
        <w:tc>
          <w:tcPr>
            <w:tcW w:type="dxa" w:w="3005"/>
            <w:shd w:val="clear" w:fill="F7F7F6"/>
          </w:tcPr>
          <w:p>
            <w:pPr>
              <w:spacing w:after="20"/>
            </w:pPr>
            <w:r>
              <w:rPr>
                <w:rFonts w:ascii="Calibri" w:hAnsi="Calibri"/>
                <w:color w:val="1A1A1A"/>
                <w:sz w:val="17"/>
              </w:rPr>
              <w:t>Companies House sync</w:t>
            </w:r>
          </w:p>
        </w:tc>
        <w:tc>
          <w:tcPr>
            <w:tcW w:type="dxa" w:w="2041"/>
            <w:shd w:val="clear" w:fill="F7F7F6"/>
          </w:tcPr>
          <w:p>
            <w:pPr>
              <w:spacing w:after="20"/>
            </w:pPr>
            <w:r>
              <w:rPr>
                <w:rFonts w:ascii="Calibri" w:hAnsi="Calibri"/>
                <w:color w:val="1A1A1A"/>
                <w:sz w:val="17"/>
              </w:rPr>
              <w:t>Companies House</w:t>
            </w:r>
          </w:p>
        </w:tc>
      </w:tr>
      <w:tr>
        <w:tc>
          <w:tcPr>
            <w:tcW w:type="dxa" w:w="2494"/>
          </w:tcPr>
          <w:p>
            <w:pPr>
              <w:spacing w:after="20"/>
            </w:pPr>
            <w:r>
              <w:rPr>
                <w:rFonts w:ascii="Calibri" w:hAnsi="Calibri"/>
                <w:color w:val="1A1A1A"/>
                <w:sz w:val="17"/>
              </w:rPr>
              <w:t>Dormant reactivation</w:t>
            </w:r>
          </w:p>
        </w:tc>
        <w:tc>
          <w:tcPr>
            <w:tcW w:type="dxa" w:w="3005"/>
          </w:tcPr>
          <w:p>
            <w:pPr>
              <w:spacing w:after="20"/>
            </w:pPr>
            <w:r>
              <w:rPr>
                <w:rFonts w:ascii="Calibri" w:hAnsi="Calibri"/>
                <w:color w:val="1A1A1A"/>
                <w:sz w:val="17"/>
              </w:rPr>
              <w:t>FSCS notice, 12-month threshold</w:t>
            </w:r>
          </w:p>
        </w:tc>
        <w:tc>
          <w:tcPr>
            <w:tcW w:type="dxa" w:w="2041"/>
          </w:tcPr>
          <w:p>
            <w:pPr>
              <w:spacing w:after="20"/>
            </w:pPr>
            <w:r>
              <w:rPr>
                <w:rFonts w:ascii="Calibri" w:hAnsi="Calibri"/>
                <w:color w:val="1A1A1A"/>
                <w:sz w:val="17"/>
              </w:rPr>
              <w:t>FSCS</w:t>
            </w:r>
          </w:p>
        </w:tc>
      </w:tr>
      <w:tr>
        <w:tc>
          <w:tcPr>
            <w:tcW w:type="dxa" w:w="2494"/>
            <w:shd w:val="clear" w:fill="F7F7F6"/>
          </w:tcPr>
          <w:p>
            <w:pPr>
              <w:spacing w:after="20"/>
            </w:pPr>
            <w:r>
              <w:rPr>
                <w:rFonts w:ascii="Calibri" w:hAnsi="Calibri"/>
                <w:color w:val="1A1A1A"/>
                <w:sz w:val="17"/>
              </w:rPr>
              <w:t>MTD VAT submission</w:t>
            </w:r>
          </w:p>
        </w:tc>
        <w:tc>
          <w:tcPr>
            <w:tcW w:type="dxa" w:w="3005"/>
            <w:shd w:val="clear" w:fill="F7F7F6"/>
          </w:tcPr>
          <w:p>
            <w:pPr>
              <w:spacing w:after="20"/>
            </w:pPr>
            <w:r>
              <w:rPr>
                <w:rFonts w:ascii="Calibri" w:hAnsi="Calibri"/>
                <w:color w:val="1A1A1A"/>
                <w:sz w:val="17"/>
              </w:rPr>
              <w:t>Auto-categorise, VAT100, HMRC API</w:t>
            </w:r>
          </w:p>
        </w:tc>
        <w:tc>
          <w:tcPr>
            <w:tcW w:type="dxa" w:w="2041"/>
            <w:shd w:val="clear" w:fill="F7F7F6"/>
          </w:tcPr>
          <w:p>
            <w:pPr>
              <w:spacing w:after="20"/>
            </w:pPr>
            <w:r>
              <w:rPr>
                <w:rFonts w:ascii="Calibri" w:hAnsi="Calibri"/>
                <w:color w:val="1A1A1A"/>
                <w:sz w:val="17"/>
              </w:rPr>
              <w:t>HMRC MTD</w:t>
            </w:r>
          </w:p>
        </w:tc>
      </w:tr>
      <w:tr>
        <w:tc>
          <w:tcPr>
            <w:tcW w:type="dxa" w:w="2494"/>
          </w:tcPr>
          <w:p>
            <w:pPr>
              <w:spacing w:after="20"/>
            </w:pPr>
            <w:r>
              <w:rPr>
                <w:rFonts w:ascii="Calibri" w:hAnsi="Calibri"/>
                <w:color w:val="1A1A1A"/>
                <w:sz w:val="17"/>
              </w:rPr>
              <w:t>Personal/business unlink</w:t>
            </w:r>
          </w:p>
        </w:tc>
        <w:tc>
          <w:tcPr>
            <w:tcW w:type="dxa" w:w="3005"/>
          </w:tcPr>
          <w:p>
            <w:pPr>
              <w:spacing w:after="20"/>
            </w:pPr>
            <w:r>
              <w:rPr>
                <w:rFonts w:ascii="Calibri" w:hAnsi="Calibri"/>
                <w:color w:val="1A1A1A"/>
                <w:sz w:val="17"/>
              </w:rPr>
              <w:t>Render-tree removal, CRM update</w:t>
            </w:r>
          </w:p>
        </w:tc>
        <w:tc>
          <w:tcPr>
            <w:tcW w:type="dxa" w:w="2041"/>
          </w:tcPr>
          <w:p>
            <w:pPr>
              <w:spacing w:after="20"/>
            </w:pPr>
            <w:r>
              <w:rPr>
                <w:rFonts w:ascii="Calibri" w:hAnsi="Calibri"/>
                <w:color w:val="1A1A1A"/>
                <w:sz w:val="17"/>
              </w:rPr>
              <w:t>GDPR Art.5(1)(c)</w:t>
            </w:r>
          </w:p>
        </w:tc>
      </w:tr>
      <w:tr>
        <w:tc>
          <w:tcPr>
            <w:tcW w:type="dxa" w:w="2494"/>
            <w:shd w:val="clear" w:fill="F7F7F6"/>
          </w:tcPr>
          <w:p>
            <w:pPr>
              <w:spacing w:after="20"/>
            </w:pPr>
            <w:r>
              <w:rPr>
                <w:rFonts w:ascii="Calibri" w:hAnsi="Calibri"/>
                <w:color w:val="1A1A1A"/>
                <w:sz w:val="17"/>
              </w:rPr>
              <w:t>Credit ring-fence</w:t>
            </w:r>
          </w:p>
        </w:tc>
        <w:tc>
          <w:tcPr>
            <w:tcW w:type="dxa" w:w="3005"/>
            <w:shd w:val="clear" w:fill="F7F7F6"/>
          </w:tcPr>
          <w:p>
            <w:pPr>
              <w:spacing w:after="20"/>
            </w:pPr>
            <w:r>
              <w:rPr>
                <w:rFonts w:ascii="Calibri" w:hAnsi="Calibri"/>
                <w:color w:val="1A1A1A"/>
                <w:sz w:val="17"/>
              </w:rPr>
              <w:t>Persisted formal instruction</w:t>
            </w:r>
          </w:p>
        </w:tc>
        <w:tc>
          <w:tcPr>
            <w:tcW w:type="dxa" w:w="2041"/>
            <w:shd w:val="clear" w:fill="F7F7F6"/>
          </w:tcPr>
          <w:p>
            <w:pPr>
              <w:spacing w:after="20"/>
            </w:pPr>
            <w:r>
              <w:rPr>
                <w:rFonts w:ascii="Calibri" w:hAnsi="Calibri"/>
                <w:color w:val="1A1A1A"/>
                <w:sz w:val="17"/>
              </w:rPr>
              <w:t>GDPR Art.5(1)(c)</w:t>
            </w:r>
          </w:p>
        </w:tc>
      </w:tr>
      <w:tr>
        <w:tc>
          <w:tcPr>
            <w:tcW w:type="dxa" w:w="2494"/>
          </w:tcPr>
          <w:p>
            <w:pPr>
              <w:spacing w:after="20"/>
            </w:pPr>
            <w:r>
              <w:rPr>
                <w:rFonts w:ascii="Calibri" w:hAnsi="Calibri"/>
                <w:color w:val="1A1A1A"/>
                <w:sz w:val="17"/>
              </w:rPr>
              <w:t>Pre-approved lending</w:t>
            </w:r>
          </w:p>
        </w:tc>
        <w:tc>
          <w:tcPr>
            <w:tcW w:type="dxa" w:w="3005"/>
          </w:tcPr>
          <w:p>
            <w:pPr>
              <w:spacing w:after="20"/>
            </w:pPr>
            <w:r>
              <w:rPr>
                <w:rFonts w:ascii="Calibri" w:hAnsi="Calibri"/>
                <w:color w:val="1A1A1A"/>
                <w:sz w:val="17"/>
              </w:rPr>
              <w:t>14-day cooling-off, repayment calc</w:t>
            </w:r>
          </w:p>
        </w:tc>
        <w:tc>
          <w:tcPr>
            <w:tcW w:type="dxa" w:w="2041"/>
          </w:tcPr>
          <w:p>
            <w:pPr>
              <w:spacing w:after="20"/>
            </w:pPr>
            <w:r>
              <w:rPr>
                <w:rFonts w:ascii="Calibri" w:hAnsi="Calibri"/>
                <w:color w:val="1A1A1A"/>
                <w:sz w:val="17"/>
              </w:rPr>
              <w:t>CCA 1974</w:t>
            </w:r>
          </w:p>
        </w:tc>
      </w:tr>
      <w:tr>
        <w:tc>
          <w:tcPr>
            <w:tcW w:type="dxa" w:w="2494"/>
            <w:shd w:val="clear" w:fill="F7F7F6"/>
          </w:tcPr>
          <w:p>
            <w:pPr>
              <w:spacing w:after="20"/>
            </w:pPr>
            <w:r>
              <w:rPr>
                <w:rFonts w:ascii="Calibri" w:hAnsi="Calibri"/>
                <w:color w:val="1A1A1A"/>
                <w:sz w:val="17"/>
              </w:rPr>
              <w:t>International FX payment</w:t>
            </w:r>
          </w:p>
        </w:tc>
        <w:tc>
          <w:tcPr>
            <w:tcW w:type="dxa" w:w="3005"/>
            <w:shd w:val="clear" w:fill="F7F7F6"/>
          </w:tcPr>
          <w:p>
            <w:pPr>
              <w:spacing w:after="20"/>
            </w:pPr>
            <w:r>
              <w:rPr>
                <w:rFonts w:ascii="Calibri" w:hAnsi="Calibri"/>
                <w:color w:val="1A1A1A"/>
                <w:sz w:val="17"/>
              </w:rPr>
              <w:t>Fee disclosure, MLR screening</w:t>
            </w:r>
          </w:p>
        </w:tc>
        <w:tc>
          <w:tcPr>
            <w:tcW w:type="dxa" w:w="2041"/>
            <w:shd w:val="clear" w:fill="F7F7F6"/>
          </w:tcPr>
          <w:p>
            <w:pPr>
              <w:spacing w:after="20"/>
            </w:pPr>
            <w:r>
              <w:rPr>
                <w:rFonts w:ascii="Calibri" w:hAnsi="Calibri"/>
                <w:color w:val="1A1A1A"/>
                <w:sz w:val="17"/>
              </w:rPr>
              <w:t>MLR 2017</w:t>
            </w:r>
          </w:p>
        </w:tc>
      </w:tr>
      <w:tr>
        <w:tc>
          <w:tcPr>
            <w:tcW w:type="dxa" w:w="2494"/>
          </w:tcPr>
          <w:p>
            <w:pPr>
              <w:spacing w:after="20"/>
            </w:pPr>
            <w:r>
              <w:rPr>
                <w:rFonts w:ascii="Calibri" w:hAnsi="Calibri"/>
                <w:color w:val="1A1A1A"/>
                <w:sz w:val="17"/>
              </w:rPr>
              <w:t>Standing orders &amp; Direct Debits</w:t>
            </w:r>
          </w:p>
        </w:tc>
        <w:tc>
          <w:tcPr>
            <w:tcW w:type="dxa" w:w="3005"/>
          </w:tcPr>
          <w:p>
            <w:pPr>
              <w:spacing w:after="20"/>
            </w:pPr>
            <w:r>
              <w:rPr>
                <w:rFonts w:ascii="Calibri" w:hAnsi="Calibri"/>
                <w:color w:val="1A1A1A"/>
                <w:sz w:val="17"/>
              </w:rPr>
              <w:t>DD Guarantee, CoP on set-up</w:t>
            </w:r>
          </w:p>
        </w:tc>
        <w:tc>
          <w:tcPr>
            <w:tcW w:type="dxa" w:w="2041"/>
          </w:tcPr>
          <w:p>
            <w:pPr>
              <w:spacing w:after="20"/>
            </w:pPr>
            <w:r>
              <w:rPr>
                <w:rFonts w:ascii="Calibri" w:hAnsi="Calibri"/>
                <w:color w:val="1A1A1A"/>
                <w:sz w:val="17"/>
              </w:rPr>
              <w:t>PSR; SI 2019/1215</w:t>
            </w:r>
          </w:p>
        </w:tc>
      </w:tr>
      <w:tr>
        <w:tc>
          <w:tcPr>
            <w:tcW w:type="dxa" w:w="2494"/>
            <w:shd w:val="clear" w:fill="F7F7F6"/>
          </w:tcPr>
          <w:p>
            <w:pPr>
              <w:spacing w:after="20"/>
            </w:pPr>
            <w:r>
              <w:rPr>
                <w:rFonts w:ascii="Calibri" w:hAnsi="Calibri"/>
                <w:color w:val="1A1A1A"/>
                <w:sz w:val="17"/>
              </w:rPr>
              <w:t>Complaint handling</w:t>
            </w:r>
          </w:p>
        </w:tc>
        <w:tc>
          <w:tcPr>
            <w:tcW w:type="dxa" w:w="3005"/>
            <w:shd w:val="clear" w:fill="F7F7F6"/>
          </w:tcPr>
          <w:p>
            <w:pPr>
              <w:spacing w:after="20"/>
            </w:pPr>
            <w:r>
              <w:rPr>
                <w:rFonts w:ascii="Calibri" w:hAnsi="Calibri"/>
                <w:color w:val="1A1A1A"/>
                <w:sz w:val="17"/>
              </w:rPr>
              <w:t>Eligibility, triage, FOS signpost</w:t>
            </w:r>
          </w:p>
        </w:tc>
        <w:tc>
          <w:tcPr>
            <w:tcW w:type="dxa" w:w="2041"/>
            <w:shd w:val="clear" w:fill="F7F7F6"/>
          </w:tcPr>
          <w:p>
            <w:pPr>
              <w:spacing w:after="20"/>
            </w:pPr>
            <w:r>
              <w:rPr>
                <w:rFonts w:ascii="Calibri" w:hAnsi="Calibri"/>
                <w:color w:val="1A1A1A"/>
                <w:sz w:val="17"/>
              </w:rPr>
              <w:t>FCA DISP</w:t>
            </w:r>
          </w:p>
        </w:tc>
      </w:tr>
    </w:tbl>
    <w:p>
      <w:pPr>
        <w:spacing w:before="60" w:after="200"/>
      </w:pPr>
      <w:r>
        <w:rPr>
          <w:rFonts w:ascii="Calibri" w:hAnsi="Calibri"/>
          <w:i/>
          <w:color w:val="666666"/>
          <w:sz w:val="17"/>
        </w:rPr>
        <w:t>Table 2. The thirteen workflow wizards, the control embedded in each, and its regulatory basis.</w:t>
      </w:r>
    </w:p>
    <w:p>
      <w:pPr>
        <w:spacing w:before="200" w:after="60"/>
      </w:pPr>
      <w:r>
        <w:rPr>
          <w:rFonts w:ascii="Calibri" w:hAnsi="Calibri"/>
          <w:b/>
          <w:color w:val="C8102E"/>
          <w:sz w:val="23"/>
        </w:rPr>
        <w:t>5.1 Dual authorisation and signing</w:t>
      </w:r>
    </w:p>
    <w:p>
      <w:pPr>
        <w:spacing w:before="0" w:after="120"/>
        <w:jc w:val="left"/>
      </w:pPr>
      <w:r>
        <w:rPr>
          <w:rFonts w:ascii="Calibri" w:hAnsi="Calibri"/>
          <w:b w:val="0"/>
          <w:i w:val="0"/>
          <w:color w:val="1A1A1A"/>
          <w:sz w:val="21"/>
        </w:rPr>
        <w:t>Pending actions reach a signature queue. Signing uses a personal four-digit PIN by default (biometric and Voice ID remain selectable), framed as SCA. A signed payment then enters a ten-second cancel window before release.</w:t>
      </w:r>
    </w:p>
    <w:p>
      <w:pPr>
        <w:spacing w:before="200" w:after="60"/>
      </w:pPr>
      <w:r>
        <w:rPr>
          <w:rFonts w:ascii="Calibri" w:hAnsi="Calibri"/>
          <w:b/>
          <w:color w:val="C8102E"/>
          <w:sz w:val="23"/>
        </w:rPr>
        <w:t>5.2 Cooling-off</w:t>
      </w:r>
    </w:p>
    <w:p>
      <w:pPr>
        <w:spacing w:before="0" w:after="120"/>
        <w:jc w:val="left"/>
      </w:pPr>
      <w:r>
        <w:rPr>
          <w:rFonts w:ascii="Calibri" w:hAnsi="Calibri"/>
          <w:b w:val="0"/>
          <w:i w:val="0"/>
          <w:color w:val="1A1A1A"/>
          <w:sz w:val="21"/>
        </w:rPr>
        <w:t>The cooling-off timer adds 24 working hours, advancing hour-by-hour and only decrementing on weekday, non-bank-holiday hours; a request started on a Friday therefore executes the following Monday. A live card shows a progress bar, with Cancel and Do-it-now controls.</w:t>
      </w:r>
    </w:p>
    <w:p>
      <w:pPr>
        <w:spacing w:before="280" w:after="80"/>
        <w:pBdr>
          <w:bottom w:val="single" w:sz="6" w:space="4" w:color="C8102E"/>
        </w:pBdr>
      </w:pPr>
      <w:r>
        <w:rPr>
          <w:rFonts w:ascii="Calibri" w:hAnsi="Calibri"/>
          <w:b/>
          <w:color w:val="1A1A1A"/>
          <w:sz w:val="28"/>
        </w:rPr>
        <w:t>6 Compliance Mapping</w:t>
      </w:r>
    </w:p>
    <w:p>
      <w:pPr>
        <w:spacing w:before="0" w:after="120"/>
        <w:jc w:val="left"/>
      </w:pPr>
      <w:r>
        <w:rPr>
          <w:rFonts w:ascii="Calibri" w:hAnsi="Calibri"/>
          <w:b w:val="0"/>
          <w:i w:val="0"/>
          <w:color w:val="1A1A1A"/>
          <w:sz w:val="21"/>
        </w:rPr>
        <w:t>Each control is tied to a specific obligation rather than a vague claim (Table 3).</w:t>
      </w:r>
    </w:p>
    <w:tbl>
      <w:tblPr>
        <w:tblStyle w:val="TableGrid"/>
        <w:tblW w:type="auto" w:w="0"/>
        <w:jc w:val="center"/>
        <w:tblLook w:firstColumn="1" w:firstRow="1" w:lastColumn="0" w:lastRow="0" w:noHBand="0" w:noVBand="1" w:val="04A0"/>
      </w:tblPr>
      <w:tblGrid>
        <w:gridCol w:w="3062"/>
        <w:gridCol w:w="3062"/>
        <w:gridCol w:w="3062"/>
      </w:tblGrid>
      <w:tr>
        <w:tc>
          <w:tcPr>
            <w:tcW w:type="dxa" w:w="1928"/>
            <w:shd w:val="clear" w:fill="C8102E"/>
          </w:tcPr>
          <w:p>
            <w:pPr>
              <w:spacing w:after="20"/>
            </w:pPr>
            <w:r>
              <w:rPr>
                <w:rFonts w:ascii="Calibri" w:hAnsi="Calibri"/>
                <w:b/>
                <w:color w:val="FFFFFF"/>
                <w:sz w:val="17"/>
              </w:rPr>
              <w:t>Control</w:t>
            </w:r>
          </w:p>
        </w:tc>
        <w:tc>
          <w:tcPr>
            <w:tcW w:type="dxa" w:w="2041"/>
            <w:shd w:val="clear" w:fill="C8102E"/>
          </w:tcPr>
          <w:p>
            <w:pPr>
              <w:spacing w:after="20"/>
            </w:pPr>
            <w:r>
              <w:rPr>
                <w:rFonts w:ascii="Calibri" w:hAnsi="Calibri"/>
                <w:b/>
                <w:color w:val="FFFFFF"/>
                <w:sz w:val="17"/>
              </w:rPr>
              <w:t>Regulation</w:t>
            </w:r>
          </w:p>
        </w:tc>
        <w:tc>
          <w:tcPr>
            <w:tcW w:type="dxa" w:w="3572"/>
            <w:shd w:val="clear" w:fill="C8102E"/>
          </w:tcPr>
          <w:p>
            <w:pPr>
              <w:spacing w:after="20"/>
            </w:pPr>
            <w:r>
              <w:rPr>
                <w:rFonts w:ascii="Calibri" w:hAnsi="Calibri"/>
                <w:b/>
                <w:color w:val="FFFFFF"/>
                <w:sz w:val="17"/>
              </w:rPr>
              <w:t>Implementation</w:t>
            </w:r>
          </w:p>
        </w:tc>
      </w:tr>
      <w:tr>
        <w:tc>
          <w:tcPr>
            <w:tcW w:type="dxa" w:w="1928"/>
            <w:shd w:val="clear" w:fill="F7F7F6"/>
          </w:tcPr>
          <w:p>
            <w:pPr>
              <w:spacing w:after="20"/>
            </w:pPr>
            <w:r>
              <w:rPr>
                <w:rFonts w:ascii="Calibri" w:hAnsi="Calibri"/>
                <w:color w:val="1A1A1A"/>
                <w:sz w:val="17"/>
              </w:rPr>
              <w:t>Cooling-off</w:t>
            </w:r>
          </w:p>
        </w:tc>
        <w:tc>
          <w:tcPr>
            <w:tcW w:type="dxa" w:w="2041"/>
            <w:shd w:val="clear" w:fill="F7F7F6"/>
          </w:tcPr>
          <w:p>
            <w:pPr>
              <w:spacing w:after="20"/>
            </w:pPr>
            <w:r>
              <w:rPr>
                <w:rFonts w:ascii="Calibri" w:hAnsi="Calibri"/>
                <w:color w:val="1A1A1A"/>
                <w:sz w:val="17"/>
              </w:rPr>
              <w:t>FCA BCOBS 4A</w:t>
            </w:r>
          </w:p>
        </w:tc>
        <w:tc>
          <w:tcPr>
            <w:tcW w:type="dxa" w:w="3572"/>
            <w:shd w:val="clear" w:fill="F7F7F6"/>
          </w:tcPr>
          <w:p>
            <w:pPr>
              <w:spacing w:after="20"/>
            </w:pPr>
            <w:r>
              <w:rPr>
                <w:rFonts w:ascii="Calibri" w:hAnsi="Calibri"/>
                <w:color w:val="1A1A1A"/>
                <w:sz w:val="17"/>
              </w:rPr>
              <w:t>Working-hours aware, cancellable, live progress</w:t>
            </w:r>
          </w:p>
        </w:tc>
      </w:tr>
      <w:tr>
        <w:tc>
          <w:tcPr>
            <w:tcW w:type="dxa" w:w="1928"/>
          </w:tcPr>
          <w:p>
            <w:pPr>
              <w:spacing w:after="20"/>
            </w:pPr>
            <w:r>
              <w:rPr>
                <w:rFonts w:ascii="Calibri" w:hAnsi="Calibri"/>
                <w:color w:val="1A1A1A"/>
                <w:sz w:val="17"/>
              </w:rPr>
              <w:t>Dual authorisation</w:t>
            </w:r>
          </w:p>
        </w:tc>
        <w:tc>
          <w:tcPr>
            <w:tcW w:type="dxa" w:w="2041"/>
          </w:tcPr>
          <w:p>
            <w:pPr>
              <w:spacing w:after="20"/>
            </w:pPr>
            <w:r>
              <w:rPr>
                <w:rFonts w:ascii="Calibri" w:hAnsi="Calibri"/>
                <w:color w:val="1A1A1A"/>
                <w:sz w:val="17"/>
              </w:rPr>
              <w:t>PSD2 RTS Art.97</w:t>
            </w:r>
          </w:p>
        </w:tc>
        <w:tc>
          <w:tcPr>
            <w:tcW w:type="dxa" w:w="3572"/>
          </w:tcPr>
          <w:p>
            <w:pPr>
              <w:spacing w:after="20"/>
            </w:pPr>
            <w:r>
              <w:rPr>
                <w:rFonts w:ascii="Calibri" w:hAnsi="Calibri"/>
                <w:color w:val="1A1A1A"/>
                <w:sz w:val="17"/>
              </w:rPr>
              <w:t>Any-1/2/All per account, PIN signing, co-sign window</w:t>
            </w:r>
          </w:p>
        </w:tc>
      </w:tr>
      <w:tr>
        <w:tc>
          <w:tcPr>
            <w:tcW w:type="dxa" w:w="1928"/>
            <w:shd w:val="clear" w:fill="F7F7F6"/>
          </w:tcPr>
          <w:p>
            <w:pPr>
              <w:spacing w:after="20"/>
            </w:pPr>
            <w:r>
              <w:rPr>
                <w:rFonts w:ascii="Calibri" w:hAnsi="Calibri"/>
                <w:color w:val="1A1A1A"/>
                <w:sz w:val="17"/>
              </w:rPr>
              <w:t>KYC / KYB</w:t>
            </w:r>
          </w:p>
        </w:tc>
        <w:tc>
          <w:tcPr>
            <w:tcW w:type="dxa" w:w="2041"/>
            <w:shd w:val="clear" w:fill="F7F7F6"/>
          </w:tcPr>
          <w:p>
            <w:pPr>
              <w:spacing w:after="20"/>
            </w:pPr>
            <w:r>
              <w:rPr>
                <w:rFonts w:ascii="Calibri" w:hAnsi="Calibri"/>
                <w:color w:val="1A1A1A"/>
                <w:sz w:val="17"/>
              </w:rPr>
              <w:t>MLR 2017 / JMLSG</w:t>
            </w:r>
          </w:p>
        </w:tc>
        <w:tc>
          <w:tcPr>
            <w:tcW w:type="dxa" w:w="3572"/>
            <w:shd w:val="clear" w:fill="F7F7F6"/>
          </w:tcPr>
          <w:p>
            <w:pPr>
              <w:spacing w:after="20"/>
            </w:pPr>
            <w:r>
              <w:rPr>
                <w:rFonts w:ascii="Calibri" w:hAnsi="Calibri"/>
                <w:color w:val="1A1A1A"/>
                <w:sz w:val="17"/>
              </w:rPr>
              <w:t>GOV.UK One Login Lists 1–3, sanctions, PEP, visa</w:t>
            </w:r>
          </w:p>
        </w:tc>
      </w:tr>
      <w:tr>
        <w:tc>
          <w:tcPr>
            <w:tcW w:type="dxa" w:w="1928"/>
          </w:tcPr>
          <w:p>
            <w:pPr>
              <w:spacing w:after="20"/>
            </w:pPr>
            <w:r>
              <w:rPr>
                <w:rFonts w:ascii="Calibri" w:hAnsi="Calibri"/>
                <w:color w:val="1A1A1A"/>
                <w:sz w:val="17"/>
              </w:rPr>
              <w:t>Audit trail</w:t>
            </w:r>
          </w:p>
        </w:tc>
        <w:tc>
          <w:tcPr>
            <w:tcW w:type="dxa" w:w="2041"/>
          </w:tcPr>
          <w:p>
            <w:pPr>
              <w:spacing w:after="20"/>
            </w:pPr>
            <w:r>
              <w:rPr>
                <w:rFonts w:ascii="Calibri" w:hAnsi="Calibri"/>
                <w:color w:val="1A1A1A"/>
                <w:sz w:val="17"/>
              </w:rPr>
              <w:t>FCA SYSC 9</w:t>
            </w:r>
          </w:p>
        </w:tc>
        <w:tc>
          <w:tcPr>
            <w:tcW w:type="dxa" w:w="3572"/>
          </w:tcPr>
          <w:p>
            <w:pPr>
              <w:spacing w:after="20"/>
            </w:pPr>
            <w:r>
              <w:rPr>
                <w:rFonts w:ascii="Calibri" w:hAnsi="Calibri"/>
                <w:color w:val="1A1A1A"/>
                <w:sz w:val="17"/>
              </w:rPr>
              <w:t>7-year, append-only, actor + timestamp per event</w:t>
            </w:r>
          </w:p>
        </w:tc>
      </w:tr>
      <w:tr>
        <w:tc>
          <w:tcPr>
            <w:tcW w:type="dxa" w:w="1928"/>
            <w:shd w:val="clear" w:fill="F7F7F6"/>
          </w:tcPr>
          <w:p>
            <w:pPr>
              <w:spacing w:after="20"/>
            </w:pPr>
            <w:r>
              <w:rPr>
                <w:rFonts w:ascii="Calibri" w:hAnsi="Calibri"/>
                <w:color w:val="1A1A1A"/>
                <w:sz w:val="17"/>
              </w:rPr>
              <w:t>Confirmation of Payee</w:t>
            </w:r>
          </w:p>
        </w:tc>
        <w:tc>
          <w:tcPr>
            <w:tcW w:type="dxa" w:w="2041"/>
            <w:shd w:val="clear" w:fill="F7F7F6"/>
          </w:tcPr>
          <w:p>
            <w:pPr>
              <w:spacing w:after="20"/>
            </w:pPr>
            <w:r>
              <w:rPr>
                <w:rFonts w:ascii="Calibri" w:hAnsi="Calibri"/>
                <w:color w:val="1A1A1A"/>
                <w:sz w:val="17"/>
              </w:rPr>
              <w:t>PSR / SI 2019/1215</w:t>
            </w:r>
          </w:p>
        </w:tc>
        <w:tc>
          <w:tcPr>
            <w:tcW w:type="dxa" w:w="3572"/>
            <w:shd w:val="clear" w:fill="F7F7F6"/>
          </w:tcPr>
          <w:p>
            <w:pPr>
              <w:spacing w:after="20"/>
            </w:pPr>
            <w:r>
              <w:rPr>
                <w:rFonts w:ascii="Calibri" w:hAnsi="Calibri"/>
                <w:color w:val="1A1A1A"/>
                <w:sz w:val="17"/>
              </w:rPr>
              <w:t>Pre-payment name check, explicit override</w:t>
            </w:r>
          </w:p>
        </w:tc>
      </w:tr>
      <w:tr>
        <w:tc>
          <w:tcPr>
            <w:tcW w:type="dxa" w:w="1928"/>
          </w:tcPr>
          <w:p>
            <w:pPr>
              <w:spacing w:after="20"/>
            </w:pPr>
            <w:r>
              <w:rPr>
                <w:rFonts w:ascii="Calibri" w:hAnsi="Calibri"/>
                <w:color w:val="1A1A1A"/>
                <w:sz w:val="17"/>
              </w:rPr>
              <w:t>Complaints</w:t>
            </w:r>
          </w:p>
        </w:tc>
        <w:tc>
          <w:tcPr>
            <w:tcW w:type="dxa" w:w="2041"/>
          </w:tcPr>
          <w:p>
            <w:pPr>
              <w:spacing w:after="20"/>
            </w:pPr>
            <w:r>
              <w:rPr>
                <w:rFonts w:ascii="Calibri" w:hAnsi="Calibri"/>
                <w:color w:val="1A1A1A"/>
                <w:sz w:val="17"/>
              </w:rPr>
              <w:t>FCA DISP</w:t>
            </w:r>
          </w:p>
        </w:tc>
        <w:tc>
          <w:tcPr>
            <w:tcW w:type="dxa" w:w="3572"/>
          </w:tcPr>
          <w:p>
            <w:pPr>
              <w:spacing w:after="20"/>
            </w:pPr>
            <w:r>
              <w:rPr>
                <w:rFonts w:ascii="Calibri" w:hAnsi="Calibri"/>
                <w:color w:val="1A1A1A"/>
                <w:sz w:val="17"/>
              </w:rPr>
              <w:t>D+3/D+56 deadlines, eligibility, FOS signpost</w:t>
            </w:r>
          </w:p>
        </w:tc>
      </w:tr>
      <w:tr>
        <w:tc>
          <w:tcPr>
            <w:tcW w:type="dxa" w:w="1928"/>
            <w:shd w:val="clear" w:fill="F7F7F6"/>
          </w:tcPr>
          <w:p>
            <w:pPr>
              <w:spacing w:after="20"/>
            </w:pPr>
            <w:r>
              <w:rPr>
                <w:rFonts w:ascii="Calibri" w:hAnsi="Calibri"/>
                <w:color w:val="1A1A1A"/>
                <w:sz w:val="17"/>
              </w:rPr>
              <w:t>Data separation</w:t>
            </w:r>
          </w:p>
        </w:tc>
        <w:tc>
          <w:tcPr>
            <w:tcW w:type="dxa" w:w="2041"/>
            <w:shd w:val="clear" w:fill="F7F7F6"/>
          </w:tcPr>
          <w:p>
            <w:pPr>
              <w:spacing w:after="20"/>
            </w:pPr>
            <w:r>
              <w:rPr>
                <w:rFonts w:ascii="Calibri" w:hAnsi="Calibri"/>
                <w:color w:val="1A1A1A"/>
                <w:sz w:val="17"/>
              </w:rPr>
              <w:t>GDPR Art.5(1)(c)</w:t>
            </w:r>
          </w:p>
        </w:tc>
        <w:tc>
          <w:tcPr>
            <w:tcW w:type="dxa" w:w="3572"/>
            <w:shd w:val="clear" w:fill="F7F7F6"/>
          </w:tcPr>
          <w:p>
            <w:pPr>
              <w:spacing w:after="20"/>
            </w:pPr>
            <w:r>
              <w:rPr>
                <w:rFonts w:ascii="Calibri" w:hAnsi="Calibri"/>
                <w:color w:val="1A1A1A"/>
                <w:sz w:val="17"/>
              </w:rPr>
              <w:t>Render-tree removal, CRM unlink, credit ring-fence</w:t>
            </w:r>
          </w:p>
        </w:tc>
      </w:tr>
      <w:tr>
        <w:tc>
          <w:tcPr>
            <w:tcW w:type="dxa" w:w="1928"/>
          </w:tcPr>
          <w:p>
            <w:pPr>
              <w:spacing w:after="20"/>
            </w:pPr>
            <w:r>
              <w:rPr>
                <w:rFonts w:ascii="Calibri" w:hAnsi="Calibri"/>
                <w:color w:val="1A1A1A"/>
                <w:sz w:val="17"/>
              </w:rPr>
              <w:t>Accessibility</w:t>
            </w:r>
          </w:p>
        </w:tc>
        <w:tc>
          <w:tcPr>
            <w:tcW w:type="dxa" w:w="2041"/>
          </w:tcPr>
          <w:p>
            <w:pPr>
              <w:spacing w:after="20"/>
            </w:pPr>
            <w:r>
              <w:rPr>
                <w:rFonts w:ascii="Calibri" w:hAnsi="Calibri"/>
                <w:color w:val="1A1A1A"/>
                <w:sz w:val="17"/>
              </w:rPr>
              <w:t>WCAG 2.1 AA</w:t>
            </w:r>
          </w:p>
        </w:tc>
        <w:tc>
          <w:tcPr>
            <w:tcW w:type="dxa" w:w="3572"/>
          </w:tcPr>
          <w:p>
            <w:pPr>
              <w:spacing w:after="20"/>
            </w:pPr>
            <w:r>
              <w:rPr>
                <w:rFonts w:ascii="Calibri" w:hAnsi="Calibri"/>
                <w:color w:val="1A1A1A"/>
                <w:sz w:val="17"/>
              </w:rPr>
              <w:t>Contrast ≥4.5:1, focus-visible, tabular figures</w:t>
            </w:r>
          </w:p>
        </w:tc>
      </w:tr>
    </w:tbl>
    <w:p>
      <w:pPr>
        <w:spacing w:before="60" w:after="200"/>
      </w:pPr>
      <w:r>
        <w:rPr>
          <w:rFonts w:ascii="Calibri" w:hAnsi="Calibri"/>
          <w:i/>
          <w:color w:val="666666"/>
          <w:sz w:val="17"/>
        </w:rPr>
        <w:t>Table 3. Feature-to-regulation mapping. No control is included without a named obligation behind it.</w:t>
      </w:r>
    </w:p>
    <w:p>
      <w:pPr>
        <w:spacing w:before="280" w:after="80"/>
        <w:pBdr>
          <w:bottom w:val="single" w:sz="6" w:space="4" w:color="C8102E"/>
        </w:pBdr>
      </w:pPr>
      <w:r>
        <w:rPr>
          <w:rFonts w:ascii="Calibri" w:hAnsi="Calibri"/>
          <w:b/>
          <w:color w:val="1A1A1A"/>
          <w:sz w:val="28"/>
        </w:rPr>
        <w:t>7 Limitations and Path to Production</w:t>
      </w:r>
    </w:p>
    <w:p>
      <w:pPr>
        <w:spacing w:before="0" w:after="120"/>
        <w:jc w:val="left"/>
      </w:pPr>
      <w:r>
        <w:rPr>
          <w:rFonts w:ascii="Calibri" w:hAnsi="Calibri"/>
          <w:b w:val="0"/>
          <w:i w:val="0"/>
          <w:color w:val="1A1A1A"/>
          <w:sz w:val="21"/>
        </w:rPr>
        <w:t>We state the boundaries plainly, in the spirit of a defensible rather than promotional account.</w:t>
      </w:r>
    </w:p>
    <w:p>
      <w:pPr>
        <w:pStyle w:val="ListBullet"/>
        <w:spacing w:after="60"/>
        <w:ind w:left="397"/>
      </w:pPr>
      <w:r>
        <w:rPr>
          <w:rFonts w:ascii="Calibri" w:hAnsi="Calibri"/>
          <w:color w:val="1A1A1A"/>
          <w:sz w:val="21"/>
        </w:rPr>
        <w:t>Fictional data only. All names, account numbers, balances and amounts are invented; there is no real customer data and no money movement.</w:t>
      </w:r>
    </w:p>
    <w:p>
      <w:pPr>
        <w:pStyle w:val="ListBullet"/>
        <w:spacing w:after="60"/>
        <w:ind w:left="397"/>
      </w:pPr>
      <w:r>
        <w:rPr>
          <w:rFonts w:ascii="Calibri" w:hAnsi="Calibri"/>
          <w:color w:val="1A1A1A"/>
          <w:sz w:val="21"/>
        </w:rPr>
        <w:t>No back-end. The prototype is front-end only; the workflows imply but do not call production services (payments, KYC, HMRC, audit log). A Node.js service layer is the natural Phase-2 step [9].</w:t>
      </w:r>
    </w:p>
    <w:p>
      <w:pPr>
        <w:pStyle w:val="ListBullet"/>
        <w:spacing w:after="60"/>
        <w:ind w:left="397"/>
      </w:pPr>
      <w:r>
        <w:rPr>
          <w:rFonts w:ascii="Calibri" w:hAnsi="Calibri"/>
          <w:color w:val="1A1A1A"/>
          <w:sz w:val="21"/>
        </w:rPr>
        <w:t>Single-file by design. The ~6,500-line single component is intentional for a readable prototype, not a production structure; hardening would migrate to TypeScript and a modular architecture [10].</w:t>
      </w:r>
    </w:p>
    <w:p>
      <w:pPr>
        <w:pStyle w:val="ListBullet"/>
        <w:spacing w:after="60"/>
        <w:ind w:left="397"/>
      </w:pPr>
      <w:r>
        <w:rPr>
          <w:rFonts w:ascii="Calibri" w:hAnsi="Calibri"/>
          <w:color w:val="1A1A1A"/>
          <w:sz w:val="21"/>
        </w:rPr>
        <w:t>Demonstration of controls, not certification. Embedded controls model the correct regulatory behaviour for research and presentation; they are not a substitute for a controlled, tested and independently assured production implementation.</w:t>
      </w:r>
    </w:p>
    <w:p>
      <w:pPr>
        <w:spacing w:before="280" w:after="80"/>
        <w:pBdr>
          <w:bottom w:val="single" w:sz="6" w:space="4" w:color="C8102E"/>
        </w:pBdr>
      </w:pPr>
      <w:r>
        <w:rPr>
          <w:rFonts w:ascii="Calibri" w:hAnsi="Calibri"/>
          <w:b/>
          <w:color w:val="1A1A1A"/>
          <w:sz w:val="28"/>
        </w:rPr>
        <w:t>8 Conclusion</w:t>
      </w:r>
    </w:p>
    <w:p>
      <w:pPr>
        <w:spacing w:before="0" w:after="120"/>
        <w:jc w:val="left"/>
      </w:pPr>
      <w:r>
        <w:rPr>
          <w:rFonts w:ascii="Calibri" w:hAnsi="Calibri"/>
          <w:b w:val="0"/>
          <w:i w:val="0"/>
          <w:color w:val="1A1A1A"/>
          <w:sz w:val="21"/>
        </w:rPr>
        <w:t>The prototype shows that the paper-and-branch processes of business banking can be expressed as guided digital workflows with the governing regulatory control built into each flow, in a single readable, portable artefact. It is a faithful demonstration of design and embedded compliance — and an explicit, documented foundation for a production system, not a stand-in for one.</w:t>
      </w:r>
    </w:p>
    <w:p>
      <w:pPr>
        <w:spacing w:before="280" w:after="80"/>
        <w:pBdr>
          <w:bottom w:val="single" w:sz="6" w:space="4" w:color="C8102E"/>
        </w:pBdr>
      </w:pPr>
      <w:r>
        <w:rPr>
          <w:rFonts w:ascii="Calibri" w:hAnsi="Calibri"/>
          <w:b/>
          <w:color w:val="1A1A1A"/>
          <w:sz w:val="28"/>
        </w:rPr>
        <w:t xml:space="preserve"> References</w:t>
      </w:r>
    </w:p>
    <w:p>
      <w:pPr>
        <w:spacing w:after="40"/>
        <w:ind w:left="454" w:hanging="454"/>
      </w:pPr>
      <w:r>
        <w:rPr>
          <w:rFonts w:ascii="Calibri" w:hAnsi="Calibri"/>
          <w:b/>
          <w:color w:val="1A1A1A"/>
          <w:sz w:val="17"/>
        </w:rPr>
        <w:t xml:space="preserve">[1]  </w:t>
      </w:r>
      <w:r>
        <w:rPr>
          <w:rFonts w:ascii="Calibri" w:hAnsi="Calibri"/>
          <w:color w:val="1A1A1A"/>
          <w:sz w:val="17"/>
        </w:rPr>
        <w:t>Financial Conduct Authority. Consumer Duty (PRIN 2A), 2023.</w:t>
      </w:r>
    </w:p>
    <w:p>
      <w:pPr>
        <w:spacing w:after="40"/>
        <w:ind w:left="454" w:hanging="454"/>
      </w:pPr>
      <w:r>
        <w:rPr>
          <w:rFonts w:ascii="Calibri" w:hAnsi="Calibri"/>
          <w:b/>
          <w:color w:val="1A1A1A"/>
          <w:sz w:val="17"/>
        </w:rPr>
        <w:t xml:space="preserve">[2]  </w:t>
      </w:r>
      <w:r>
        <w:rPr>
          <w:rFonts w:ascii="Calibri" w:hAnsi="Calibri"/>
          <w:color w:val="1A1A1A"/>
          <w:sz w:val="17"/>
        </w:rPr>
        <w:t>Financial Conduct Authority. BCOBS — Banking: Conduct of Business Sourcebook.</w:t>
      </w:r>
    </w:p>
    <w:p>
      <w:pPr>
        <w:spacing w:after="40"/>
        <w:ind w:left="454" w:hanging="454"/>
      </w:pPr>
      <w:r>
        <w:rPr>
          <w:rFonts w:ascii="Calibri" w:hAnsi="Calibri"/>
          <w:b/>
          <w:color w:val="1A1A1A"/>
          <w:sz w:val="17"/>
        </w:rPr>
        <w:t xml:space="preserve">[3]  </w:t>
      </w:r>
      <w:r>
        <w:rPr>
          <w:rFonts w:ascii="Calibri" w:hAnsi="Calibri"/>
          <w:color w:val="1A1A1A"/>
          <w:sz w:val="17"/>
        </w:rPr>
        <w:t>D. Berman. Individual Accountability Under the Senior Managers Regime. Macfarlanes / Thomson Reuters, 2016.</w:t>
      </w:r>
    </w:p>
    <w:p>
      <w:pPr>
        <w:spacing w:after="40"/>
        <w:ind w:left="454" w:hanging="454"/>
      </w:pPr>
      <w:r>
        <w:rPr>
          <w:rFonts w:ascii="Calibri" w:hAnsi="Calibri"/>
          <w:b/>
          <w:color w:val="1A1A1A"/>
          <w:sz w:val="17"/>
        </w:rPr>
        <w:t xml:space="preserve">[4]  </w:t>
      </w:r>
      <w:r>
        <w:rPr>
          <w:rFonts w:ascii="Calibri" w:hAnsi="Calibri"/>
          <w:color w:val="1A1A1A"/>
          <w:sz w:val="17"/>
        </w:rPr>
        <w:t>European Banking Authority / FCA. PSD2 Regulatory Technical Standards on Strong Customer Authentication, Art. 97.</w:t>
      </w:r>
    </w:p>
    <w:p>
      <w:pPr>
        <w:spacing w:after="40"/>
        <w:ind w:left="454" w:hanging="454"/>
      </w:pPr>
      <w:r>
        <w:rPr>
          <w:rFonts w:ascii="Calibri" w:hAnsi="Calibri"/>
          <w:b/>
          <w:color w:val="1A1A1A"/>
          <w:sz w:val="17"/>
        </w:rPr>
        <w:t xml:space="preserve">[5]  </w:t>
      </w:r>
      <w:r>
        <w:rPr>
          <w:rFonts w:ascii="Calibri" w:hAnsi="Calibri"/>
          <w:color w:val="1A1A1A"/>
          <w:sz w:val="17"/>
        </w:rPr>
        <w:t>Payment Systems Regulator. Confirmation of Payee; SI 2019/1215.</w:t>
      </w:r>
    </w:p>
    <w:p>
      <w:pPr>
        <w:spacing w:after="40"/>
        <w:ind w:left="454" w:hanging="454"/>
      </w:pPr>
      <w:r>
        <w:rPr>
          <w:rFonts w:ascii="Calibri" w:hAnsi="Calibri"/>
          <w:b/>
          <w:color w:val="1A1A1A"/>
          <w:sz w:val="17"/>
        </w:rPr>
        <w:t xml:space="preserve">[6]  </w:t>
      </w:r>
      <w:r>
        <w:rPr>
          <w:rFonts w:ascii="Calibri" w:hAnsi="Calibri"/>
          <w:color w:val="1A1A1A"/>
          <w:sz w:val="17"/>
        </w:rPr>
        <w:t>Payment Systems Regulator. PS23/3 — APP fraud mandatory reimbursement, 2024.</w:t>
      </w:r>
    </w:p>
    <w:p>
      <w:pPr>
        <w:spacing w:after="40"/>
        <w:ind w:left="454" w:hanging="454"/>
      </w:pPr>
      <w:r>
        <w:rPr>
          <w:rFonts w:ascii="Calibri" w:hAnsi="Calibri"/>
          <w:b/>
          <w:color w:val="1A1A1A"/>
          <w:sz w:val="17"/>
        </w:rPr>
        <w:t xml:space="preserve">[7]  </w:t>
      </w:r>
      <w:r>
        <w:rPr>
          <w:rFonts w:ascii="Calibri" w:hAnsi="Calibri"/>
          <w:color w:val="1A1A1A"/>
          <w:sz w:val="17"/>
        </w:rPr>
        <w:t>Financial Conduct Authority. DISP — Dispute Resolution: Complaints.</w:t>
      </w:r>
    </w:p>
    <w:p>
      <w:pPr>
        <w:spacing w:after="40"/>
        <w:ind w:left="454" w:hanging="454"/>
      </w:pPr>
      <w:r>
        <w:rPr>
          <w:rFonts w:ascii="Calibri" w:hAnsi="Calibri"/>
          <w:b/>
          <w:color w:val="1A1A1A"/>
          <w:sz w:val="17"/>
        </w:rPr>
        <w:t xml:space="preserve">[8]  </w:t>
      </w:r>
      <w:r>
        <w:rPr>
          <w:rFonts w:ascii="Calibri" w:hAnsi="Calibri"/>
          <w:color w:val="1A1A1A"/>
          <w:sz w:val="17"/>
        </w:rPr>
        <w:t>W3C. Web Content Accessibility Guidelines (WCAG) 2.1.</w:t>
      </w:r>
    </w:p>
    <w:p>
      <w:pPr>
        <w:spacing w:after="40"/>
        <w:ind w:left="454" w:hanging="454"/>
      </w:pPr>
      <w:r>
        <w:rPr>
          <w:rFonts w:ascii="Calibri" w:hAnsi="Calibri"/>
          <w:b/>
          <w:color w:val="1A1A1A"/>
          <w:sz w:val="17"/>
        </w:rPr>
        <w:t xml:space="preserve">[9]  </w:t>
      </w:r>
      <w:r>
        <w:rPr>
          <w:rFonts w:ascii="Calibri" w:hAnsi="Calibri"/>
          <w:color w:val="1A1A1A"/>
          <w:sz w:val="17"/>
        </w:rPr>
        <w:t>R. Kumar. Ultimate Node.js for Cross-Platform App Development; N. Murray. Fullstack Node.js.</w:t>
      </w:r>
    </w:p>
    <w:p>
      <w:pPr>
        <w:spacing w:after="40"/>
        <w:ind w:left="454" w:hanging="454"/>
      </w:pPr>
      <w:r>
        <w:rPr>
          <w:rFonts w:ascii="Calibri" w:hAnsi="Calibri"/>
          <w:b/>
          <w:color w:val="1A1A1A"/>
          <w:sz w:val="17"/>
        </w:rPr>
        <w:t xml:space="preserve">[10]  </w:t>
      </w:r>
      <w:r>
        <w:rPr>
          <w:rFonts w:ascii="Calibri" w:hAnsi="Calibri"/>
          <w:color w:val="1A1A1A"/>
          <w:sz w:val="17"/>
        </w:rPr>
        <w:t>M. Pocock &amp; T. Bell. Total TypeScript: The Essentials.</w:t>
      </w:r>
    </w:p>
    <w:p>
      <w:pPr>
        <w:spacing w:after="40"/>
        <w:ind w:left="454" w:hanging="454"/>
      </w:pPr>
      <w:r>
        <w:rPr>
          <w:rFonts w:ascii="Calibri" w:hAnsi="Calibri"/>
          <w:b/>
          <w:color w:val="1A1A1A"/>
          <w:sz w:val="17"/>
        </w:rPr>
        <w:t xml:space="preserve">[11]  </w:t>
      </w:r>
      <w:r>
        <w:rPr>
          <w:rFonts w:ascii="Calibri" w:hAnsi="Calibri"/>
          <w:color w:val="1A1A1A"/>
          <w:sz w:val="17"/>
        </w:rPr>
        <w:t>HMRC. Making Tax Digital for VAT — API v1.0.</w:t>
      </w:r>
    </w:p>
    <w:p>
      <w:pPr>
        <w:spacing w:after="40"/>
        <w:ind w:left="454" w:hanging="454"/>
      </w:pPr>
      <w:r>
        <w:rPr>
          <w:rFonts w:ascii="Calibri" w:hAnsi="Calibri"/>
          <w:b/>
          <w:color w:val="1A1A1A"/>
          <w:sz w:val="17"/>
        </w:rPr>
        <w:t xml:space="preserve">[12]  </w:t>
      </w:r>
      <w:r>
        <w:rPr>
          <w:rFonts w:ascii="Calibri" w:hAnsi="Calibri"/>
          <w:color w:val="1A1A1A"/>
          <w:sz w:val="17"/>
        </w:rPr>
        <w:t>Money Laundering Regulations 2017; JMLSG Guidance.</w:t>
      </w:r>
    </w:p>
    <w:p>
      <w:pPr>
        <w:spacing w:after="40"/>
        <w:ind w:left="454" w:hanging="454"/>
      </w:pPr>
      <w:r>
        <w:rPr>
          <w:rFonts w:ascii="Calibri" w:hAnsi="Calibri"/>
          <w:b/>
          <w:color w:val="1A1A1A"/>
          <w:sz w:val="17"/>
        </w:rPr>
        <w:t xml:space="preserve">[13]  </w:t>
      </w:r>
      <w:r>
        <w:rPr>
          <w:rFonts w:ascii="Calibri" w:hAnsi="Calibri"/>
          <w:color w:val="1A1A1A"/>
          <w:sz w:val="17"/>
        </w:rPr>
        <w:t>Financial Conduct Authority. SYSC 9 — record-keeping (7-year retention).</w:t>
      </w:r>
    </w:p>
    <w:p>
      <w:pPr>
        <w:spacing w:after="40"/>
        <w:ind w:left="454" w:hanging="454"/>
      </w:pPr>
      <w:r>
        <w:rPr>
          <w:rFonts w:ascii="Calibri" w:hAnsi="Calibri"/>
          <w:b/>
          <w:color w:val="1A1A1A"/>
          <w:sz w:val="17"/>
        </w:rPr>
        <w:t xml:space="preserve">[14]  </w:t>
      </w:r>
      <w:r>
        <w:rPr>
          <w:rFonts w:ascii="Calibri" w:hAnsi="Calibri"/>
          <w:color w:val="1A1A1A"/>
          <w:sz w:val="17"/>
        </w:rPr>
        <w:t>1701-uniform/REFERENCE.md — internal technical reference library (112 sections, 121 books &amp; regulatory documents).</w:t>
      </w:r>
    </w:p>
    <w:p>
      <w:pPr>
        <w:spacing w:before="0" w:after="80"/>
        <w:jc w:val="left"/>
      </w:pPr>
      <w:r>
        <w:rPr>
          <w:rFonts w:ascii="Calibri" w:hAnsi="Calibri"/>
          <w:b w:val="0"/>
          <w:i w:val="0"/>
          <w:color w:val="1A1A1A"/>
          <w:sz w:val="21"/>
        </w:rPr>
      </w:r>
    </w:p>
    <w:tbl>
      <w:tblPr>
        <w:tblW w:type="auto" w:w="0"/>
        <w:jc w:val="center"/>
        <w:tblLook w:firstColumn="1" w:firstRow="1" w:lastColumn="0" w:lastRow="0" w:noHBand="0" w:noVBand="1" w:val="04A0"/>
      </w:tblPr>
      <w:tblGrid>
        <w:gridCol w:w="9187"/>
      </w:tblGrid>
      <w:tr>
        <w:tc>
          <w:tcPr>
            <w:tcW w:type="dxa" w:w="9187"/>
            <w:shd w:val="clear" w:fill="1A1A1A"/>
          </w:tcPr>
          <w:p>
            <w:pPr>
              <w:spacing w:after="0" w:before="0"/>
              <w:jc w:val="center"/>
            </w:pPr>
            <w:r>
              <w:rPr>
                <w:rFonts w:ascii="Calibri" w:hAnsi="Calibri"/>
                <w:b/>
                <w:color w:val="FFFFFF"/>
                <w:sz w:val="18"/>
              </w:rPr>
              <w:t>INTERNAL · CONFIDENTIAL</w:t>
            </w:r>
          </w:p>
        </w:tc>
      </w:tr>
    </w:tbl>
    <w:p>
      <w:pPr>
        <w:spacing w:before="120" w:after="120"/>
        <w:jc w:val="center"/>
      </w:pPr>
      <w:r>
        <w:rPr>
          <w:rFonts w:ascii="Calibri" w:hAnsi="Calibri"/>
          <w:b w:val="0"/>
          <w:i/>
          <w:color w:val="999999"/>
          <w:sz w:val="16"/>
        </w:rPr>
        <w:t>Santander UK plc · Self-initiated · Completed out of hours, own time · Alan Davidson, Business Banking Advisor · June 2026</w:t>
      </w:r>
    </w:p>
    <w:sectPr w:rsidR="00FC693F" w:rsidRPr="0006063C" w:rsidSect="00034616">
      <w:pgSz w:w="11909" w:h="16834"/>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