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1737360" cy="300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tander-logo-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005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spacing w:before="0" w:after="200"/>
      </w:pPr>
      <w:r>
        <w:rPr>
          <w:rFonts w:ascii="Santander Text" w:hAnsi="Santander Text"/>
          <w:b/>
          <w:i w:val="0"/>
          <w:color w:val="EC0000"/>
          <w:sz w:val="18"/>
        </w:rPr>
        <w:t>INTERNAL · CONFIDENTIAL</w:t>
      </w:r>
    </w:p>
    <w:p>
      <w:pPr>
        <w:spacing w:before="0" w:after="0"/>
      </w:pPr>
      <w:r>
        <w:rPr>
          <w:rFonts w:ascii="Santander Text" w:hAnsi="Santander Text"/>
          <w:b/>
          <w:i w:val="0"/>
          <w:color w:val="1C1917"/>
          <w:sz w:val="60"/>
        </w:rPr>
        <w:t>Santander Business Banking</w:t>
      </w:r>
    </w:p>
    <w:p>
      <w:pPr>
        <w:spacing w:before="0" w:after="60"/>
      </w:pPr>
      <w:r>
        <w:rPr>
          <w:rFonts w:ascii="Santander Text" w:hAnsi="Santander Text"/>
          <w:b w:val="0"/>
          <w:i w:val="0"/>
          <w:color w:val="57534E"/>
          <w:sz w:val="34"/>
        </w:rPr>
        <w:t>Concept Prototype — Technical Report</w:t>
      </w:r>
    </w:p>
    <w:p>
      <w:pPr>
        <w:spacing w:before="0" w:after="360"/>
      </w:pPr>
      <w:r>
        <w:rPr>
          <w:rFonts w:ascii="Santander Text" w:hAnsi="Santander Text"/>
          <w:b w:val="0"/>
          <w:i/>
          <w:color w:val="78716C"/>
          <w:sz w:val="22"/>
        </w:rPr>
        <w:t>A front-end exploration of paperless, compliant-by-design service journeys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BF1EA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BF1EA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BF1EA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BF1EA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BF1EA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BF1EA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Concept prototype — for internal discussion and customer research</w:t>
            </w:r>
          </w:p>
        </w:tc>
      </w:tr>
      <w:tr>
        <w:tc>
          <w:tcPr>
            <w:tcW w:type="dxa" w:w="4824"/>
            <w:shd w:val="clear" w:fill="FBF1EA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Distribution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Business Banking product, design, and risk &amp; compliance stakeholders</w:t>
            </w:r>
          </w:p>
        </w:tc>
      </w:tr>
    </w:tbl>
    <w:p>
      <w:pPr>
        <w:spacing w:before="440" w:after="80"/>
      </w:pPr>
      <w:r>
        <w:rPr>
          <w:rFonts w:ascii="Santander Text" w:hAnsi="Santander Text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1  Executive summary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2  Context and problem statement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3  Objectives, scope and non-goals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4  System architecture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5  Workflow catalogue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6  Regulatory control mapping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7  Engineering and quality approach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8  Accessibility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9  Limitations and assumptions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10  Indicative next steps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SECTION 1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1   Executive summary</w:t>
      </w:r>
    </w:p>
    <w:p>
      <w:pPr>
        <w:spacing w:before="0" w:after="140" w:line="312" w:lineRule="auto"/>
      </w:pPr>
      <w:r>
        <w:rPr>
          <w:rFonts w:ascii="Santander Text" w:hAnsi="Santander Text"/>
          <w:b w:val="0"/>
          <w:i w:val="0"/>
          <w:color w:val="1C1917"/>
          <w:sz w:val="24"/>
        </w:rPr>
        <w:t>Business banking retains a striking dependence on paper. Mandate variations, account closures, beneficiary onboarding and dispute handling still routinely require posted forms, wet-ink signatures and branch attendance — processes that impose days of latency, measurable operational cost, and inconsistent application of controls at exactly the points where regulatory rigour matters most.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This report describes a self-initiated concept prototype that reframes seventeen such service events as guided, digitally-signed, self-serve journeys. The distinguishing idea is that the controls each journey must satisfy — Strong Customer Authentication [3], Confirmation of Payee [4], sanctions and politically-exposed-person screening [8], cooling-off, and record-keeping [12] — are expressed inside the flow rather than appended through manual back-office process. Control thereby becomes an enabler of a better experience instead of the reason to retain paper.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prototype is deliberately a front-end artefact. It holds no customer data, connects to no live system, and is not a release candidate. Its purpose is to make a service proposition tangible enough to test — with colleagues, with risk and compliance, and with business customers — before any commitment to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Dimension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Summary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Workflows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Seventeen end-to-end paperless journeys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Entity coverage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Seven business types (sole trader, partnership, limited company, LLP, charity, club, society)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Platform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Single-file React front end, compiled to one self-contained HTML bundle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Regulatory framing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PSD2/SCA, CoP, PSR 2017, MLR 2017, FCA DISP/BCOBS/SYSC, Consumer Duty, UK GDPR, MTD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Scope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Front-end concept only — no backend, no real data, not production-hardened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SECTION 2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2   Context and problem statement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friction in business-banking servicing is not primarily a technology gap; it is a process gap. The underlying capabilities — digital identity, strong authentication, Confirmation of Payee and real-time payments — are mature and, in several cases, mandated. Yet the service events that sit on top of them are frequently still discharged on paper, for three connected reasons: the controls are treated as separate from the customer journey; the journeys are owned by different teams; and no single artefact makes the end-to-end experience concrete enough to challenge.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cost of that gap is cumulative. Postal round-trips convert minutes of decision-making into days of elapsed time. Manual re-keying introduces error and rework. And discretionary, manually-applied controls are, by construction, harder to evidence consistently — a growing concern under the FCA Consumer Duty [1], which expects firms to demonstrate good outcomes rather than assert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BF1EA"/>
            <w:tcBorders>
              <w:left w:val="single" w:sz="24" w:space="0" w:color="EC0000"/>
            </w:tcBorders>
          </w:tcPr>
          <w:p>
            <w:pPr>
              <w:spacing w:after="40"/>
            </w:pPr>
            <w:r>
              <w:rPr>
                <w:rFonts w:ascii="Santander Text" w:hAnsi="Santander Text"/>
                <w:b/>
                <w:i w:val="0"/>
                <w:color w:val="EC0000"/>
                <w:sz w:val="17"/>
              </w:rPr>
              <w:t xml:space="preserve">THE CORE QUESTION  </w:t>
            </w:r>
          </w:p>
          <w:p>
            <w:pPr>
              <w:spacing w:after="40"/>
            </w:pPr>
            <w:r>
              <w:rPr>
                <w:rFonts w:ascii="Santander Text" w:hAnsi="Santander Text"/>
                <w:b w:val="0"/>
                <w:i w:val="0"/>
                <w:color w:val="1C1917"/>
                <w:sz w:val="21"/>
              </w:rPr>
              <w:t>What would these service events look like if they were re-imagined as in-app, self-serve, compliant-by-design journeys — with each regulatory check built into the flow, applied consistently, and recorded automatically?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SECTION 3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3   Objectives, scope and non-goals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prototype was built to answer that question in a form that can be reviewed and tested, not merely described. Its objectives are therefore evidential rather than technical: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Demonstrate credible paperless equivalents for the most paper-heavy business-banking service events.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Express, within each journey, the specific regulatory control it must satisfy — so reviewers can see where an obligation is met rather than infer it.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Provide a single, clickable artefact for internal review and structured customer research.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Establish a consistent design language and a measurable accessibility standard for the journeys.</w:t>
      </w:r>
    </w:p>
    <w:p>
      <w:pPr>
        <w:spacing w:before="180" w:after="40"/>
      </w:pPr>
      <w:r>
        <w:rPr>
          <w:rFonts w:ascii="Santander Text" w:hAnsi="Santander Text"/>
          <w:b/>
          <w:i w:val="0"/>
          <w:color w:val="57534E"/>
          <w:sz w:val="23"/>
        </w:rPr>
        <w:t>Non-goals (explicitly out of scope)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Equally important is what the prototype is not, so that its evidence is read correctly: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No backend, database, or integration with live banking systems.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No real customer, account, or payment data — every figure and reference is illustrative and fictional.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No production security hardening; this is a concept artefact, not a release candidate.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No processing of real payments, identity documents, or regulatory submissions.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SECTION 4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4   System architecture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prototype is implemented as a single React component compiled by Vite into one self-contained HTML bundle. This is an unusual choice for production software but a deliberate one for a concept artefact: it keeps the entire product readable top-to-bottom, removes build-and-deploy friction, and lets the whole experience be shared as a single file. The trade-off — that all state lives in one component — is acceptable precisely because the artefact is not intended to scale as a codebase.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288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Architectural choice</w:t>
            </w:r>
          </w:p>
        </w:tc>
        <w:tc>
          <w:tcPr>
            <w:tcW w:type="dxa" w:w="5669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328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Single-file React front end</w:t>
            </w:r>
          </w:p>
        </w:tc>
        <w:tc>
          <w:tcPr>
            <w:tcW w:type="dxa" w:w="5669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Whole product legible in one place; no module navigation to review it</w:t>
            </w:r>
          </w:p>
        </w:tc>
      </w:tr>
      <w:tr>
        <w:tc>
          <w:tcPr>
            <w:tcW w:type="dxa" w:w="328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Compiled to one HTML artefact</w:t>
            </w:r>
          </w:p>
        </w:tc>
        <w:tc>
          <w:tcPr>
            <w:tcW w:type="dxa" w:w="5669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Frictionless to deploy, host, or hand to a colleague</w:t>
            </w:r>
          </w:p>
        </w:tc>
      </w:tr>
      <w:tr>
        <w:tc>
          <w:tcPr>
            <w:tcW w:type="dxa" w:w="328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Two shells, shared state (mobile &amp; desktop)</w:t>
            </w:r>
          </w:p>
        </w:tc>
        <w:tc>
          <w:tcPr>
            <w:tcW w:type="dxa" w:w="5669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Demonstrates responsive parity without a second codebase</w:t>
            </w:r>
          </w:p>
        </w:tc>
      </w:tr>
      <w:tr>
        <w:tc>
          <w:tcPr>
            <w:tcW w:type="dxa" w:w="328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Workflow-overlay model</w:t>
            </w:r>
          </w:p>
        </w:tc>
        <w:tc>
          <w:tcPr>
            <w:tcW w:type="dxa" w:w="5669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Each journey is a self-contained, multi-step wizard over the main app</w:t>
            </w:r>
          </w:p>
        </w:tc>
      </w:tr>
      <w:tr>
        <w:tc>
          <w:tcPr>
            <w:tcW w:type="dxa" w:w="328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Entity system (7 business types)</w:t>
            </w:r>
          </w:p>
        </w:tc>
        <w:tc>
          <w:tcPr>
            <w:tcW w:type="dxa" w:w="5669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Accounts, mandate rules, labels and required documents reconfigure per type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Santander Text" w:hAnsi="Santander Text"/>
          <w:b/>
          <w:i w:val="0"/>
          <w:color w:val="57534E"/>
          <w:sz w:val="23"/>
        </w:rPr>
        <w:t>Mandate and authorisation model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Authorisation is modelled explicitly. Each account carries a signing rule — any-one, any-two, or all signatories — and every workflow resolves the strictest applicable rule across the accounts it touches. That resolved rule determines whether an instruction can proceed immediately, requires a co-signatory, or enters a cooling-off period. Encoding authorisation as data rather than as bespoke per-journey logic is what allows the same seventeen journeys to behave correctly across all seven entity types.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SECTION 5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5   Workflow catalogue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prototype implements seventeen end-to-end workflows. Each replaces an identifiable paper or branch-based process and surfaces the control that governs 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268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Workflow</w:t>
            </w:r>
          </w:p>
        </w:tc>
        <w:tc>
          <w:tcPr>
            <w:tcW w:type="dxa" w:w="4422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What it replaces / does</w:t>
            </w:r>
          </w:p>
        </w:tc>
        <w:tc>
          <w:tcPr>
            <w:tcW w:type="dxa" w:w="2268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Primary control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Account closure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Posted closure request; in-credit and cooling-off checks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BCOBS [11]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Business details update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Change of name/address/contact with proof of address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KYB [8]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Mandate changes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Paper mandate variation; add/remove signatories, signing rule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SM&amp;CR [12]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Bulk payments / wages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BACS paper schedule; payee book with per-payee CoP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CoP [4]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Pre-approved lending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Facility request by phone/post; offer and draw-down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CCA 1974 [13]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International FX payment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Faxed instruction; rate and fee disclosure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FTR [9]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Dormant reactivation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Branch reactivation of a dormant account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Dormancy handling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Personal / business unlink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Manual separation of personal data from a relationship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UK GDPR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Credit ring-fence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Excludes personal data from business credit decisioning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UK GDPR Art. 5(1)(c)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Signatory ID register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Paper KYC/KYB across identity and address evidence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MLR 2017 [8]; ICO [17]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MTD VAT submission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Manual VAT return; categorise, review, submit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HMRC MTD [14]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Complaint handling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Paper complaint; intake, triage, decision, FOS route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FCA DISP [10]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Standing orders &amp; DDs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Paper mandate / cancellation letter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Direct Debit Guarantee [5]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Transaction dispute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Paper dispute form; chargeback / fraud / DD routes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PSR 2017 regs 76–77 [6]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Intl. beneficiary onboarding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Faxed IBAN and wet-ink verification; screening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MLR 2017 [8], sanctions/PEP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Balance certificate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Written request with postal wait; sealed certificate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Evidence document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Trusted devices &amp; sessions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Branch visit to reset access; device/session control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SCA [3], SYSC [12]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SECTION 6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6   Regulatory control mapping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workflows are designed around the controls a production implementation would require. The prototype surfaces each control in the user experience so that a reviewer can locate where an obligation is discharged. The mapping below is indicative of intent, not a statement of certified compliance.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81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Framework</w:t>
            </w:r>
          </w:p>
        </w:tc>
        <w:tc>
          <w:tcPr>
            <w:tcW w:type="dxa" w:w="5443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Obligation reflected</w:t>
            </w:r>
          </w:p>
        </w:tc>
        <w:tc>
          <w:tcPr>
            <w:tcW w:type="dxa" w:w="1134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Ref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Consumer Duty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Demonstrable good outcomes; fair treatment designed into journeys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[1]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PSD2 / SCA-RTS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Strong Customer Authentication and risk-based step-up before sensitive actions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[2][3]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Confirmation of Payee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Account-name verification before a first payment to a new payee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[4]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Direct Debit Guarantee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Immediate, guaranteed refund route for Direct Debit disputes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[5]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PSR 2017 (regs 76–77)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Refund of unauthorised transactions; correction of errors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[6]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APP reimbursement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Cancel window and reimbursement framing on outbound payments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[7]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MLR 2017 / FTR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Sanctions, PEP and adverse-media screening; payer/payee information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[8][9]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FCA DISP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Complaint intake, decision, and escalation to the Financial Ombudsman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[10]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FCA SYSC 9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Material actions recorded to an audit trail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[12]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HMRC MTD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Digital preparation and submission of VAT returns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[14]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UK GDPR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Data separation, ring-fencing and purpose limitation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[15]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data-protection references reflect the UK regime as reshaped by the Data (Use and Access) Act 2025, whose data-protection and PECR provisions are now in force — the principal Part 5 reforms from 5 February 2026 and the data-subject complaints-handling duty from 19 June 2026 [15]. A production build would need to reflect that settled position — including the regulator's reconstitution as the Information Commission — as configurable policy rather than fixed assumptions.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SECTION 7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7   Engineering and quality approach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Although a concept artefact, the prototype is produced through a disciplined, repeatable pipeline. The pipeline exists because the failure modes of a large single-file front end are predictable, and because a credible artefact must actually work when demonstrated — not merely compile. Four stages are kept distinct: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Scaffold — new workflows are generated from a template that encodes the file conventions and forecloses the recurring defects (state reset, dual-shell wiring, input handling).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Review — a parallel, multi-lens review examines each change for architecture, security, engineering, design-system and state-integrity concerns before it is accepted.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Gate — an automated pre-commit check blocks accessibility, colour-token, markup and build regressions from ever leaving the working tree.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Runtime verification — the built application is driven headlessly through real journeys, and audited against WCAG 2.1 AA [16] on each run, so that behaviour is proven rather than assumed.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BF1EA"/>
            <w:tcBorders>
              <w:left w:val="single" w:sz="24" w:space="0" w:color="EC0000"/>
            </w:tcBorders>
          </w:tcPr>
          <w:p>
            <w:pPr>
              <w:spacing w:after="40"/>
            </w:pPr>
            <w:r>
              <w:rPr>
                <w:rFonts w:ascii="Santander Text" w:hAnsi="Santander Text"/>
                <w:b/>
                <w:i w:val="0"/>
                <w:color w:val="EC0000"/>
                <w:sz w:val="17"/>
              </w:rPr>
              <w:t xml:space="preserve">WHY THIS MATTERS  </w:t>
            </w:r>
          </w:p>
          <w:p>
            <w:pPr>
              <w:spacing w:after="40"/>
            </w:pPr>
            <w:r>
              <w:rPr>
                <w:rFonts w:ascii="Santander Text" w:hAnsi="Santander Text"/>
                <w:b w:val="0"/>
                <w:i w:val="0"/>
                <w:color w:val="1C1917"/>
                <w:sz w:val="21"/>
              </w:rPr>
              <w:t>Static review confirms that code exists and is well-formed; only driving the running application confirms that a control actually fires. The pipeline is designed so that the artefact demonstrated to stakeholders is the artefact that has been verified.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Santander Text" w:hAnsi="Santander Text"/>
          <w:b/>
          <w:i w:val="0"/>
          <w:color w:val="57534E"/>
          <w:sz w:val="23"/>
        </w:rPr>
        <w:t>Design system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A single visual language governs spacing, colour, typography and interaction: a fixed spacing scale, the Santander brand red reserved for the primary action on any screen, a warm neutral palette, tabular figures for every monetary value, and exactly one primary call-to-action per view. Consistency here is not decoration; it is what makes seventeen distinct journeys feel like one coherent product.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SECTION 8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8   Accessibility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Accessibility is treated as a build gate rather than a closing audit. Interactive controls carry visible focus states and accessible names; status is never signalled by colour alone; and the interface is measured against WCAG 2.1 AA [16] using an automated engine on every verification run. Where the automated audit identified shortfalls — colour-contrast on small text and unnamed icon-only controls — they were corrected and re-measured to zero on the core screens. Full conformance, including assistive-technology testing, is identified as a pre-production activity.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SECTION 9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9   Limitations and assumptions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prototype should be read with its boundaries in mind, so that its evidence is neither over- nor under-weighted: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It is front-end only: no data is stored, transmitted or processed, and no control is enforced server-side.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All names, figures, accounts and references are illustrative and fictional.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Regulatory behaviours are represented to communicate intent, not certified for production use.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It has not been security-tested, load-tested, or assured to production standards.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SECTION 10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10   Indicative next steps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Should the proposition be endorsed, a proportionate path from concept to pilot would be: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Prioritise the highest-value journeys — by volume, cost-to-serve and customer friction — for a backend-integrated pilot.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Validate the shortlisted journeys with business customers through structured research, using the prototype as the discussion artefact.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Complete a full WCAG 2.1 AA conformance review [16], including assistive-technology testing.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Define the integration, security, resilience and data-protection requirements for a production build, and the target operating model to support it.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[1]  </w:t>
      </w:r>
      <w:r>
        <w:rPr>
          <w:rFonts w:ascii="Santander Text" w:hAnsi="Santander Text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[2]  </w:t>
      </w:r>
      <w:r>
        <w:rPr>
          <w:rFonts w:ascii="Santander Text" w:hAnsi="Santander Text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[3]  </w:t>
      </w:r>
      <w:r>
        <w:rPr>
          <w:rFonts w:ascii="Santander Text" w:hAnsi="Santander Text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[4]  </w:t>
      </w:r>
      <w:r>
        <w:rPr>
          <w:rFonts w:ascii="Santander Text" w:hAnsi="Santander Text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[5]  </w:t>
      </w:r>
      <w:r>
        <w:rPr>
          <w:rFonts w:ascii="Santander Text" w:hAnsi="Santander Text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[6]  </w:t>
      </w:r>
      <w:r>
        <w:rPr>
          <w:rFonts w:ascii="Santander Text" w:hAnsi="Santander Text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[7]  </w:t>
      </w:r>
      <w:r>
        <w:rPr>
          <w:rFonts w:ascii="Santander Text" w:hAnsi="Santander Text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[8]  </w:t>
      </w:r>
      <w:r>
        <w:rPr>
          <w:rFonts w:ascii="Santander Text" w:hAnsi="Santander Text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[9]  </w:t>
      </w:r>
      <w:r>
        <w:rPr>
          <w:rFonts w:ascii="Santander Text" w:hAnsi="Santander Text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[10]  </w:t>
      </w:r>
      <w:r>
        <w:rPr>
          <w:rFonts w:ascii="Santander Text" w:hAnsi="Santander Text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[11]  </w:t>
      </w:r>
      <w:r>
        <w:rPr>
          <w:rFonts w:ascii="Santander Text" w:hAnsi="Santander Text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[12]  </w:t>
      </w:r>
      <w:r>
        <w:rPr>
          <w:rFonts w:ascii="Santander Text" w:hAnsi="Santander Text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[13]  </w:t>
      </w:r>
      <w:r>
        <w:rPr>
          <w:rFonts w:ascii="Santander Text" w:hAnsi="Santander Text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[14]  </w:t>
      </w:r>
      <w:r>
        <w:rPr>
          <w:rFonts w:ascii="Santander Text" w:hAnsi="Santander Text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[15]  </w:t>
      </w:r>
      <w:r>
        <w:rPr>
          <w:rFonts w:ascii="Santander Text" w:hAnsi="Santander Text"/>
          <w:b w:val="0"/>
          <w:i w:val="0"/>
          <w:color w:val="1C1917"/>
          <w:sz w:val="18"/>
        </w:rPr>
        <w:t>UK GDPR and the Data Protection Act 2018, as amended by the Data (Use and Access) Act 2025 (Royal Assent 19 June 2025). Per the ICO/DSIT, the data-protection and PECR provisions are now in force — the principal Part 5 reforms from 5 February 2026 and the data-subject complaints-handling duty (s.103) from 19 June 2026 — and the regulator is being reconstituted as the Information Commission. Article 5(1)(c) — data minimisation and purpose limitation.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[16]  </w:t>
      </w:r>
      <w:r>
        <w:rPr>
          <w:rFonts w:ascii="Santander Text" w:hAnsi="Santander Text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[17]  </w:t>
      </w:r>
      <w:r>
        <w:rPr>
          <w:rFonts w:ascii="Santander Text" w:hAnsi="Santander Text"/>
          <w:b w:val="0"/>
          <w:i w:val="0"/>
          <w:color w:val="1C1917"/>
          <w:sz w:val="18"/>
        </w:rPr>
        <w:t>ICO, Employment practices and data protection: recruitment and selection (draft guidance; consultation closed, final version pending) — including the chapter on pre-employment vetting of candidates: vetting must be necessary, proportionate and data-minimising, with transparency to the individual and a DPIA where criminal-offence data is involved (relevant to the signatory ID register / KYC verification).</w:t>
      </w:r>
    </w:p>
    <w:p/>
    <w:p>
      <w:r>
        <w:rPr>
          <w:rFonts w:ascii="Santander Text" w:hAnsi="Santander Text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Business Banking Concept Prototype — Technical Report</w:t>
    </w:r>
    <w:r>
      <w:rPr>
        <w:b/>
        <w:color w:val="EC0000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Santander Text" w:hAnsi="Santander Text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