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1737360" cy="300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ntander-logo-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3005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spacing w:before="0" w:after="200"/>
      </w:pPr>
      <w:r>
        <w:rPr>
          <w:rFonts w:ascii="Calibri" w:hAnsi="Calibri"/>
          <w:b/>
          <w:i w:val="0"/>
          <w:color w:val="DA291C"/>
          <w:sz w:val="18"/>
        </w:rPr>
        <w:t>INTERNAL · CONFIDENTIAL</w:t>
      </w:r>
    </w:p>
    <w:p>
      <w:pPr>
        <w:spacing w:before="0" w:after="0"/>
      </w:pPr>
      <w:r>
        <w:rPr>
          <w:rFonts w:ascii="Calibri" w:hAnsi="Calibri"/>
          <w:b/>
          <w:i w:val="0"/>
          <w:color w:val="1C1917"/>
          <w:sz w:val="60"/>
        </w:rPr>
        <w:t>Paperless Business Banking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57534E"/>
          <w:sz w:val="34"/>
        </w:rPr>
        <w:t>Position Paper</w:t>
      </w:r>
    </w:p>
    <w:p>
      <w:pPr>
        <w:spacing w:before="0" w:after="360"/>
      </w:pPr>
      <w:r>
        <w:rPr>
          <w:rFonts w:ascii="Calibri" w:hAnsi="Calibri"/>
          <w:b w:val="0"/>
          <w:i/>
          <w:color w:val="78716C"/>
          <w:sz w:val="22"/>
        </w:rPr>
        <w:t>The case for compliant, self-serve service journeys — and a prototype that makes it concrete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Author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Document owner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Classification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Internal · Confidential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Version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2.0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Date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July 2026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Status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Position paper — for internal discussion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Audience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Business Banking leadership, product, and risk &amp; compliance</w:t>
            </w:r>
          </w:p>
        </w:tc>
      </w:tr>
    </w:tbl>
    <w:p>
      <w:pPr>
        <w:spacing w:before="440" w:after="80"/>
      </w:pPr>
      <w:r>
        <w:rPr>
          <w:rFonts w:ascii="Calibri" w:hAnsi="Calibri"/>
          <w:b/>
          <w:i w:val="0"/>
          <w:color w:val="1C1917"/>
          <w:sz w:val="24"/>
        </w:rPr>
        <w:t>Contents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  Position in brief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2  The problem: paper in the critical path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3  The opportunity: compliant self-serve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4  Why now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5  Evidence: the prototype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6  Benefits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7  Risks and mitigations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8  Recommendation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References</w:t>
      </w:r>
    </w:p>
    <w:p>
      <w:r>
        <w:br w:type="page"/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POSITION IN BRIEF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   Position in brief</w:t>
      </w:r>
    </w:p>
    <w:p>
      <w:pPr>
        <w:spacing w:before="0" w:after="140" w:line="312" w:lineRule="auto"/>
      </w:pPr>
      <w:r>
        <w:rPr>
          <w:rFonts w:ascii="Calibri" w:hAnsi="Calibri"/>
          <w:b w:val="0"/>
          <w:i w:val="0"/>
          <w:color w:val="1C1917"/>
          <w:sz w:val="24"/>
        </w:rPr>
        <w:t>Business-banking service events that still depend on paper and branch attendance should be re-imagined as guided, digitally-signed, self-serve journeys — with the regulatory controls built into the flow. The case is not merely one of convenience: done well, this model reduces cost and elapsed time, improves the customer experience, and strengthens compliance by making every control explicit, consistent and automatically recorded.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This paper sets out the argument in four moves — the problem, the opportunity, the timing, and the evidence — and closes with a specific recommendation. A working front-end prototype accompanies it and makes the proposition concrete enough to test.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THE PROBLEM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2   The problem: paper in the critical path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Across mandates, payments, closures, disputes and onboarding, too many journeys still sit on posted forms, wet-ink signatures, faxed details and branch visits. The consequence is not a single large failure but a steady accumulation of small ones: latency, cost, error and an experience that visibly lags the rest of digital banking.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Latency — postal round-trips convert minutes of decision-making into days of elapsed time.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Cost — paper handling, re-keying and exception management carry real and recurring operational expense.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Risk — manually-applied controls are harder to apply consistently and harder still to evidence [1].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Experience — business customers now expect to self-serve, at any hour, from any device.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THE OPPORTUNITY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3   The opportunity: compliant self-serve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controls these journeys require — identity, authorisation to the correct mandate, Confirmation of Payee [4], sanctions and PEP screening [8], cooling-off, and audit [12] — are precisely the tasks software performs consistently and at scale. Expressed inside the workflow, a control stops being a reason to keep paper and becomes the mechanism that makes a faster, self-serve journey safe.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DA291C"/>
                <w:sz w:val="17"/>
              </w:rPr>
              <w:t xml:space="preserve">THE REFRAMING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Compliance and customer experience are usually treated as a trade-off. Building the controls into the flow collapses that trade-off: the same design that removes the paper is the one that applies the control more consistently than paper ever did.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WHY NOW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4   Why now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Three developments make this the right moment rather than merely a good idea: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Regulatory direction rewards it. The Consumer Duty [1] expects demonstrable good outcomes, and the APP reimbursement regime [7] raises the cost of inconsistent payment controls — both favour controls that are built in and evidenced.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Expectations have shifted. Business customers increasingly expect parity with the best consumer digital experiences, and judge the bank against them.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The building blocks are mature. Confirmation of Payee [4], Strong Customer Authentication [3] and digital identity are established, reusable capabilities rather than research projects.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EVIDENCE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5   Evidence: the prototype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 self-initiated front-end prototype implements seventeen paperless journeys across seven business entity types, each replacing a specific paper or branch process and surfacing the control that governs it — from mandate changes and bulk payments to disputes, cross-border beneficiary onboarding, balance certificates and device management. It is a clickable articulation of this position, deliberately front-end only and carrying no real data. Its role is to move the conversation from slideware to something colleagues, risk stakeholders and customers can actually use.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BENEFITS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6   Benefits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value accrues to three parties at once, which is what makes the proposition durable rather than a cost-shifting exercise: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Stakeholder</w:t>
            </w:r>
          </w:p>
        </w:tc>
        <w:tc>
          <w:tcPr>
            <w:tcW w:type="dxa" w:w="6690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Benefit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Customer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Faster outcomes, self-serve at any time, clear status, and fewer branch visits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Bank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Lower cost-to-serve, fewer exceptions, consistent control application, and a stronger audit position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Risk &amp; compliance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Controls made explicit and logged [12]; fair treatment and cooling-off designed in [1]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RISKS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7   Risks and mitigations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proposition carries real risks; each has a credible mitigation, and none is a reason for inaction: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381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Risk</w:t>
            </w:r>
          </w:p>
        </w:tc>
        <w:tc>
          <w:tcPr>
            <w:tcW w:type="dxa" w:w="6576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Digital exclusion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Retain assisted and non-digital routes; design to WCAG 2.1 AA [16] from the outset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Fraud and social engineering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Strong authentication [3], Confirmation of Payee [4], screening [8], and cooling-off windows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Regulatory change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Model controls as configurable policy rather than hard-coded logic, so rules can move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Adoption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Validate journeys with customer research before scaling; sequence by value, not by ease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RECOMMENDATION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8   Recommendation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On the strength of the argument and the accompanying prototype, the recommendation is to: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Endorse the paperless, compliant-by-design model as the target for business-banking service journeys.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Select a small set of highest-value journeys for a backend-integrated pilot with defined success measures.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Fund structured customer research using the prototype as the discussion artefact.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Define the production integration, security and data-protection requirements in parallel, so a positive pilot can proceed without a standing start.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REFERENCES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References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[1]  </w:t>
      </w:r>
      <w:r>
        <w:rPr>
          <w:rFonts w:ascii="Calibri" w:hAnsi="Calibri"/>
          <w:b w:val="0"/>
          <w:i w:val="0"/>
          <w:color w:val="1C1917"/>
          <w:sz w:val="18"/>
        </w:rPr>
        <w:t>FCA, A New Consumer Duty — Policy Statement PS22/9 (July 2022); FCA Principle 12 and PRIN 2A.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[2]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 (SI 2017/752), transposing Directive (EU) 2015/2366 (PSD2); main provisions in force from 13 January 2018 and the secure-communication / SCA provisions from 14 September 2019. Now within the repeal-and-replace programme under the Financial Services and Markets Act 2023.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[3]  </w:t>
      </w:r>
      <w:r>
        <w:rPr>
          <w:rFonts w:ascii="Calibri" w:hAnsi="Calibri"/>
          <w:b w:val="0"/>
          <w:i w:val="0"/>
          <w:color w:val="1C1917"/>
          <w:sz w:val="18"/>
        </w:rPr>
        <w:t>Commission Delegated Regulation (EU) 2018/389 — Regulatory Technical Standards for Strong Customer Authentication and common and secure open standards of communication (SCA-RTS).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[4]  </w:t>
      </w:r>
      <w:r>
        <w:rPr>
          <w:rFonts w:ascii="Calibri" w:hAnsi="Calibri"/>
          <w:b w:val="0"/>
          <w:i w:val="0"/>
          <w:color w:val="1C1917"/>
          <w:sz w:val="18"/>
        </w:rPr>
        <w:t>Pay.UK — Confirmation of Payee (CoP) scheme rules.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[5]  </w:t>
      </w:r>
      <w:r>
        <w:rPr>
          <w:rFonts w:ascii="Calibri" w:hAnsi="Calibri"/>
          <w:b w:val="0"/>
          <w:i w:val="0"/>
          <w:color w:val="1C1917"/>
          <w:sz w:val="18"/>
        </w:rPr>
        <w:t>Bacs — the Direct Debit Guarantee.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[6]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2017, regs 76–77 (unauthorised and incorrectly executed transactions).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[7]  </w:t>
      </w:r>
      <w:r>
        <w:rPr>
          <w:rFonts w:ascii="Calibri" w:hAnsi="Calibri"/>
          <w:b w:val="0"/>
          <w:i w:val="0"/>
          <w:color w:val="1C1917"/>
          <w:sz w:val="18"/>
        </w:rPr>
        <w:t>PSR — Faster Payments APP scams mandatory reimbursement requirement (in force 7 October 2024).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[8]  </w:t>
      </w:r>
      <w:r>
        <w:rPr>
          <w:rFonts w:ascii="Calibri" w:hAnsi="Calibri"/>
          <w:b w:val="0"/>
          <w:i w:val="0"/>
          <w:color w:val="1C1917"/>
          <w:sz w:val="18"/>
        </w:rPr>
        <w:t>The Money Laundering, Terrorist Financing and Transfer of Funds (Information on the Payer) Regulations 2017 (SI 2017/692).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[9]  </w:t>
      </w:r>
      <w:r>
        <w:rPr>
          <w:rFonts w:ascii="Calibri" w:hAnsi="Calibri"/>
          <w:b w:val="0"/>
          <w:i w:val="0"/>
          <w:color w:val="1C1917"/>
          <w:sz w:val="18"/>
        </w:rPr>
        <w:t>Regulation (EU) 2015/847 on information accompanying transfers of funds (the Funds Transfer Regulation), as retained in UK law.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[10]  </w:t>
      </w:r>
      <w:r>
        <w:rPr>
          <w:rFonts w:ascii="Calibri" w:hAnsi="Calibri"/>
          <w:b w:val="0"/>
          <w:i w:val="0"/>
          <w:color w:val="1C1917"/>
          <w:sz w:val="18"/>
        </w:rPr>
        <w:t>FCA Handbook — Dispute Resolution: Complaints (DISP); the Financial Ombudsman Service.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[11]  </w:t>
      </w:r>
      <w:r>
        <w:rPr>
          <w:rFonts w:ascii="Calibri" w:hAnsi="Calibri"/>
          <w:b w:val="0"/>
          <w:i w:val="0"/>
          <w:color w:val="1C1917"/>
          <w:sz w:val="18"/>
        </w:rPr>
        <w:t>FCA Handbook — Banking: Conduct of Business Sourcebook (BCOBS).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[12]  </w:t>
      </w:r>
      <w:r>
        <w:rPr>
          <w:rFonts w:ascii="Calibri" w:hAnsi="Calibri"/>
          <w:b w:val="0"/>
          <w:i w:val="0"/>
          <w:color w:val="1C1917"/>
          <w:sz w:val="18"/>
        </w:rPr>
        <w:t>FCA Handbook — Senior Management Arrangements, Systems and Controls (SYSC 9 record-keeping); the Senior Managers and Certification Regime (SM&amp;CR).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[13]  </w:t>
      </w:r>
      <w:r>
        <w:rPr>
          <w:rFonts w:ascii="Calibri" w:hAnsi="Calibri"/>
          <w:b w:val="0"/>
          <w:i w:val="0"/>
          <w:color w:val="1C1917"/>
          <w:sz w:val="18"/>
        </w:rPr>
        <w:t>Consumer Credit Act 1974.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[14]  </w:t>
      </w:r>
      <w:r>
        <w:rPr>
          <w:rFonts w:ascii="Calibri" w:hAnsi="Calibri"/>
          <w:b w:val="0"/>
          <w:i w:val="0"/>
          <w:color w:val="1C1917"/>
          <w:sz w:val="18"/>
        </w:rPr>
        <w:t>HMRC — Making Tax Digital for VAT.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[15]  </w:t>
      </w:r>
      <w:r>
        <w:rPr>
          <w:rFonts w:ascii="Calibri" w:hAnsi="Calibri"/>
          <w:b w:val="0"/>
          <w:i w:val="0"/>
          <w:color w:val="1C1917"/>
          <w:sz w:val="18"/>
        </w:rPr>
        <w:t>UK GDPR and the Data Protection Act 2018, as amended by the Data (Use and Access) Act 2025 (Royal Assent 19 June 2025). Per the ICO/DSIT, the data-protection and PECR provisions are now in force — the principal Part 5 reforms from 5 February 2026 and the data-subject complaints-handling duty (s.103) from 19 June 2026 — and the regulator is being reconstituted as the Information Commission. Article 5(1)(c) — data minimisation and purpose limitation.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[16]  </w:t>
      </w:r>
      <w:r>
        <w:rPr>
          <w:rFonts w:ascii="Calibri" w:hAnsi="Calibri"/>
          <w:b w:val="0"/>
          <w:i w:val="0"/>
          <w:color w:val="1C1917"/>
          <w:sz w:val="18"/>
        </w:rPr>
        <w:t>W3C — Web Content Accessibility Guidelines (WCAG) 2.1, Level AA.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[17]  </w:t>
      </w:r>
      <w:r>
        <w:rPr>
          <w:rFonts w:ascii="Calibri" w:hAnsi="Calibri"/>
          <w:b w:val="0"/>
          <w:i w:val="0"/>
          <w:color w:val="1C1917"/>
          <w:sz w:val="18"/>
        </w:rPr>
        <w:t>ICO, Employment practices and data protection: recruitment and selection (draft guidance; consultation closed, final version pending) — including the chapter on pre-employment vetting of candidates: vetting must be necessary, proportionate and data-minimising, with transparency to the individual and a DPIA where criminal-offence data is involved (relevant to the signatory ID register / KYC verification).</w:t>
      </w:r>
    </w:p>
    <w:p/>
    <w:p>
      <w:r>
        <w:rPr>
          <w:rFonts w:ascii="Calibri" w:hAnsi="Calibri"/>
          <w:b w:val="0"/>
          <w:i/>
          <w:color w:val="78716C"/>
          <w:sz w:val="16"/>
        </w:rPr>
        <w:t>Concept prototype — front-end only. No backend, no live system connections, and no real customer, account or payment data. Prepared for internal discussion.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/>
    <w:r>
      <w:rPr>
        <w:color w:val="78716C"/>
        <w:sz w:val="15"/>
      </w:rPr>
      <w:t>Alan Davidson  ·  Internal · Confidential</w:t>
    </w:r>
    <w:r>
      <w:rPr>
        <w:color w:val="78716C"/>
        <w:sz w:val="15"/>
      </w:rPr>
      <w:tab/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48" w:val="right"/>
      </w:tabs>
      <w:pBdr>
        <w:bottom w:val="single" w:sz="4" w:space="4" w:color="E7E5E4"/>
      </w:pBdr>
    </w:pPr>
    <w:r/>
    <w:r>
      <w:rPr>
        <w:color w:val="78716C"/>
        <w:sz w:val="15"/>
      </w:rPr>
      <w:t>Paperless Business Banking — Position Paper</w:t>
    </w:r>
    <w:r>
      <w:rPr>
        <w:b/>
        <w:color w:val="DA291C"/>
        <w:sz w:val="15"/>
      </w:rPr>
      <w:tab/>
      <w:t>INTERNAL ·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