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1737360" cy="30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tander-logo-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005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200"/>
      </w:pPr>
      <w:r>
        <w:rPr>
          <w:rFonts w:ascii="Calibri" w:hAnsi="Calibri"/>
          <w:b/>
          <w:i w:val="0"/>
          <w:color w:val="DA291C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A291C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data-protection references reflect the UK regime as reshaped by the Data (Use and Access) Act 2025, whose data-protection and PECR provisions are now in force — the principal Part 5 reforms from 5 February 2026 and the data-subject complaints-handling duty from 19 June 2026 [15]. A production build would need to reflect that settled position — including the regulator's reconstitution as the Information Commission — as configurable policy rather than fixed assumptions.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DA291C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DA291C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DA291C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