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6"/>
          <w:szCs w:val="16"/>
          <w14:textFill>
            <w14:solidFill>
              <w14:schemeClr w14:val="tx1"/>
            </w14:solidFill>
          </w14:textFill>
        </w:rPr>
        <w:t>abhilekhp.phd24.ec@nitp.ac.in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Agri-IoT play a pivotal role in modern precision agriculture by enabling continuous monitoring of crop and soil parameters. But their effectiveness heavily depends on the efficiency and sustainability of the underlying Wireless Sensor Networks (WSNs). These networks are severely constrained by limited battery resources, leading to uneven energy depletion, poor cluster formation hence reduces network lifetime. While traditional clustering protocols such as LEACH, DEEC, PSO, ACO and FCM provide foundational frameworks, they often struggle with non-uniform energy depletion and coverage gaps in large scale Agri-IoT deployments. To address these critical scalability and energy constraints, this paper proposes a novel framework, termed Reinforcement Learning driven Hybrid Clustering (RLHC), designed to enhance network lifetime and operational intelligence. The framework integrates energy-aware cluster head selection, spatially balanced cluster head distribution, and compact cluster formation with adaptive learning and optimized routing strategies. To rigorously assess its effectiveness, the framework is deployed under both centralized and federated architectures, provides its detailed evaluation of scalability and adaptability across varying network conditions. Simulation results demonstrate that the proposed framework significantly outperforms existing approaches by maintaining complete sector survivability, where 9 out of 9 sectors remains operational after 1000 rounds of simulation. It improves network lifetime by 57% over LEACH/DEEC and 45% over PSO/ACO/FCM, while reducing energy consumption by 33% and 16%, respectively. Furthermore, it achieves up to 240% higher throughput compared to LEACH/DEEC and 50% improvement over PSO/ACO/FCM, while maintaining comparatively better PDR. Among the two variants of proposed framework, the federated deployment demonstrates superior robustness by sustaining 3 times more surviving sectors and achieving 8% longer network lifetime as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t>
      </w:r>
      <w:r>
        <w:rPr>
          <w:rFonts w:hint="default"/>
          <w:b/>
          <w:bCs/>
          <w:i/>
          <w:iCs/>
          <w:sz w:val="18"/>
          <w:szCs w:val="18"/>
          <w:lang w:val="en-US"/>
        </w:rPr>
        <w:t>Agricultural IoT, Wireless Sensor Networks (WSNs), Energy Optimization, Internet of Things, Low Energy Adaptive Clustering Hierarchy (LEACH), Energy Efficient Algorithm.</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Agriculture remains a fundamental pillar of global food security and economic stability, driven by its critical role in sustaining livelihoods and meeting growing nutritional demands. In India, the agricultural sector serves as a cornerstone of national productivity, contributing 18.2 % to the economy while supporting a large proportion of the rural population. For small and specialized farmers, it represents a primary source of income, accounting for a substantial share of annual household earnings [1]. Approx. 55% of total workforce solely depends upon the agriculture.   The traditional agricultural practices often rely on manual observation and static decision making, which are inadequate for addressing large scale farms and accurately monitor crop health or variations in soil conditions. In this context, Agri-IoT has emerged as a transformative solution, enabling continuous monitoring of soil, crop and environmental conditions through interconnected sensing systems, thereby facilitating data driven and precision agriculture. It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 time window into remote plantation locations without human involvement. Despite their great potential, WSNs encounter significant limitations in terms of network lifetime, reliability of communication and energy efficiency. Generally these nodes are deployed in remote locations and densely deployed which make accessing individual nodes to perform maintenance or replace batteries very difficult [3].  As a result, the battery depletes energy in nodes leads to network partitions, energy hole and decreases performance.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3B9D0723">
      <w:pPr>
        <w:pageBreakBefore w:val="0"/>
        <w:bidi w:val="0"/>
        <w:ind w:firstLine="0" w:firstLineChars="0"/>
        <w:jc w:val="both"/>
        <w:rPr>
          <w:rFonts w:hint="default"/>
          <w:lang w:val="en-US"/>
        </w:rPr>
      </w:pPr>
      <w:r>
        <w:rPr>
          <w:rFonts w:hint="default"/>
          <w:lang w:val="en-US"/>
        </w:rPr>
        <w:t xml:space="preserve">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than random or static CH selection methods such as LEACH. Ultimately, SEP and DEEC significantly improve upon traditional methods by addressing node heterogeneity, they represent the first step toward truly autonomous energy balance in the WSNs. </w:t>
      </w:r>
      <w:bookmarkStart w:id="0" w:name="_GoBack"/>
      <w:bookmarkEnd w:id="0"/>
      <w:r>
        <w:rPr>
          <w:rFonts w:hint="default"/>
          <w:lang w:val="en-US"/>
        </w:rPr>
        <w:t xml:space="preserve"> </w:t>
      </w:r>
    </w:p>
    <w:p w14:paraId="0F1ABA74">
      <w:pPr>
        <w:pageBreakBefore w:val="0"/>
        <w:bidi w:val="0"/>
        <w:ind w:firstLine="500" w:firstLineChars="250"/>
        <w:jc w:val="both"/>
        <w:rPr>
          <w:rFonts w:hint="default"/>
          <w:sz w:val="16"/>
          <w:szCs w:val="16"/>
          <w:lang w:val="en-US"/>
        </w:rPr>
      </w:pPr>
      <w:r>
        <w:rPr>
          <w:rFonts w:hint="default"/>
          <w:lang w:val="en-US"/>
        </w:rPr>
        <w:t xml:space="preserve">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 So to mitigate the above mentioned limitations, this study introduces a RLHC approach that fuses intelligent optimization techniques across multiple layers of the clustering process. </w:t>
      </w:r>
    </w:p>
    <w:p w14:paraId="7CC2BEE9">
      <w:pPr>
        <w:keepNext w:val="0"/>
        <w:keepLines w:val="0"/>
        <w:pageBreakBefore w:val="0"/>
        <w:widowControl/>
        <w:kinsoku/>
        <w:wordWrap/>
        <w:overflowPunct/>
        <w:topLinePunct w:val="0"/>
        <w:autoSpaceDE/>
        <w:autoSpaceDN/>
        <w:bidi w:val="0"/>
        <w:adjustRightInd/>
        <w:snapToGrid/>
        <w:spacing w:before="181" w:beforeLines="50"/>
        <w:textAlignment w:val="auto"/>
        <w:rPr>
          <w:rFonts w:hint="default"/>
          <w:sz w:val="16"/>
          <w:szCs w:val="16"/>
          <w:lang w:val="en-US"/>
        </w:rPr>
      </w:pPr>
      <w:r>
        <w:rPr>
          <w:rFonts w:hint="default"/>
          <w:sz w:val="16"/>
          <w:szCs w:val="16"/>
          <w:lang w:val="en-US"/>
        </w:rPr>
        <w:drawing>
          <wp:anchor distT="0" distB="0" distL="114300" distR="114300" simplePos="0" relativeHeight="251663360" behindDoc="0" locked="0" layoutInCell="1" allowOverlap="1">
            <wp:simplePos x="0" y="0"/>
            <wp:positionH relativeFrom="column">
              <wp:posOffset>154305</wp:posOffset>
            </wp:positionH>
            <wp:positionV relativeFrom="paragraph">
              <wp:posOffset>143510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sz w:val="16"/>
          <w:szCs w:val="16"/>
          <w:lang w:val="en-US"/>
        </w:rPr>
        <w:t>Figure 2. Workflow of the proposed framework (RLHC)</w:t>
      </w:r>
    </w:p>
    <w:p w14:paraId="1FB1799A">
      <w:pPr>
        <w:bidi w:val="0"/>
        <w:jc w:val="both"/>
        <w:rPr>
          <w:rFonts w:hint="default"/>
          <w:lang w:val="en-US"/>
        </w:rPr>
      </w:pPr>
    </w:p>
    <w:p w14:paraId="67908769">
      <w:pPr>
        <w:bidi w:val="0"/>
        <w:jc w:val="both"/>
        <w:rPr>
          <w:rFonts w:hint="default"/>
          <w:lang w:val="en-US"/>
        </w:rPr>
      </w:pPr>
      <w:r>
        <w:rPr>
          <w:rFonts w:hint="default"/>
          <w:lang w:val="en-US"/>
        </w:rPr>
        <w:t>Figure 2 represent the workflow of the  proposed framework which integrates energy normalized DEEC (Layer 1), centrality and s</w:t>
      </w:r>
      <w:r>
        <w:rPr>
          <w:rFonts w:hint="default"/>
        </w:rPr>
        <w:t>patiality</w:t>
      </w:r>
      <w:r>
        <w:rPr>
          <w:rFonts w:hint="default"/>
          <w:lang w:val="en-US"/>
        </w:rPr>
        <w:t xml:space="preserve"> focused cost function based EEKA (Layer 2), CH guided K-Means clustering (Layer 3), Q-Learning RL (Layer 4) a lightweight adaptive and energy aware architecture and finally, composite channel modeled multi-hop communication management (Layer 5). The top layer DEEC is energy normalized and serves as the foundational layer, prioritizing nodes with higher residual energy for CH selection, EEKA filters and ranks CH candidates using a cost function that determines the optimal number of CHs, enabling the selection of the most suitable CHs to improve spatial balance and reduce inter-cluster communication overhead then the K-Means algorithm refines the cluster formation by minimizing intra cluster distances and balance the spatial distribution of nodes. The RL layer introduces a self-learning capability that dynamically adjusts CH selection, transmission parameters and cluster reconfiguration based on real time feedback such as residual energy, cluster load and PDR. The final layer characterizes radio energy consumption during data transmission and reception among sensor nodes, CHs and the base station. It adopts a composite channel model that integrates Rician fading for small-scale variations and log-normal shadowing for large-scale propagation effects to estimate realistic channel link gains [8]. Additionally, multi-hop routing using Dijkstra’s algorithm is employed to determine optimal data transmission paths from sensor nodes to the sink.</w:t>
      </w:r>
    </w:p>
    <w:p w14:paraId="08FF23F2">
      <w:pPr>
        <w:bidi w:val="0"/>
        <w:ind w:firstLine="400" w:firstLineChars="200"/>
        <w:jc w:val="both"/>
        <w:rPr>
          <w:rFonts w:hint="default"/>
          <w:lang w:val="en-US"/>
        </w:rPr>
      </w:pPr>
      <w:r>
        <w:rPr>
          <w:rFonts w:hint="default"/>
          <w:lang w:val="en-US"/>
        </w:rPr>
        <w:t>The RLHC framework accomplishes adaptive energy balancing, increased throughput, improved PDR and extended network lifetime by combining these five layers.  It represent the potential to close the gap between contemporary ML integrated adaptive optimization techniques and conventional deterministic routing methods.  Also opens the door for more dependable and sustainable sensor network deployments in real world settings by offering a solid, scalable and self-evolving solution for the future of IoT enabled WSNs. By integrating this framework into Agri-IoT marks a pivotal step toward agricultural modernization &amp; significantly boosting overall productivity.</w:t>
      </w:r>
    </w:p>
    <w:p w14:paraId="4AAE435A">
      <w:pPr>
        <w:bidi w:val="0"/>
        <w:ind w:firstLine="400" w:firstLineChars="20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hybrid RL-driven clustering framework with centralized and federated architectures achieving 100% network survivability (after 1000 rounds) and real time adaptive optimization.</w:t>
      </w:r>
    </w:p>
    <w:p w14:paraId="1C222CFD">
      <w:pPr>
        <w:numPr>
          <w:ilvl w:val="0"/>
          <w:numId w:val="0"/>
        </w:numPr>
        <w:bidi w:val="0"/>
        <w:ind w:leftChars="0"/>
        <w:jc w:val="both"/>
        <w:rPr>
          <w:rFonts w:hint="default"/>
          <w:lang w:val="en-US"/>
        </w:rPr>
      </w:pPr>
    </w:p>
    <w:p w14:paraId="448B917B">
      <w:pPr>
        <w:numPr>
          <w:ilvl w:val="0"/>
          <w:numId w:val="9"/>
        </w:numPr>
        <w:bidi w:val="0"/>
        <w:ind w:left="425" w:leftChars="0" w:hanging="425" w:firstLineChars="0"/>
        <w:jc w:val="both"/>
        <w:rPr>
          <w:rFonts w:hint="default"/>
          <w:lang w:val="en-US"/>
        </w:rPr>
      </w:pPr>
      <w:r>
        <w:rPr>
          <w:rFonts w:hint="default"/>
          <w:lang w:val="en-US"/>
        </w:rPr>
        <w:t>Achieves up to 57% improvement in network lifetime, 33% reduction in energy consumption and 240% increase in throughput, with federated deployment as compared to the renowned optimization based algorithms (ACO/PSO/FCM), enhancing robustness and scalability</w:t>
      </w:r>
    </w:p>
    <w:p w14:paraId="59329D52">
      <w:pPr>
        <w:numPr>
          <w:ilvl w:val="0"/>
          <w:numId w:val="0"/>
        </w:numPr>
        <w:bidi w:val="0"/>
        <w:ind w:leftChars="0"/>
        <w:jc w:val="both"/>
        <w:rPr>
          <w:rFonts w:hint="default"/>
          <w:lang w:val="en-US"/>
        </w:rPr>
      </w:pPr>
    </w:p>
    <w:p w14:paraId="45004621">
      <w:pPr>
        <w:bidi w:val="0"/>
        <w:jc w:val="both"/>
        <w:rPr>
          <w:rFonts w:hint="default"/>
          <w:lang w:val="en-US"/>
        </w:rPr>
      </w:pPr>
      <w:r>
        <w:rPr>
          <w:rFonts w:hint="default"/>
          <w:lang w:val="en-US"/>
        </w:rPr>
        <w:t>The remaining part of this paper is organized as follows:</w:t>
      </w:r>
    </w:p>
    <w:p w14:paraId="1EB2F224">
      <w:pPr>
        <w:bidi w:val="0"/>
        <w:jc w:val="both"/>
        <w:rPr>
          <w:rFonts w:hint="default"/>
          <w:lang w:val="en-US"/>
        </w:rPr>
      </w:pP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Section II represents a comprehensive literature review of existing clustering protocols and RL approaches in WSNs. Section III focus on the methodology of proposed RLHC framework in details and explain each layer contribution. Section IV presents the simulation results, performance evaluation parameters and comparative analysis of the proposed RLHC protocol with existing approaches. Finally, Section V provides the conclusion and highlights possible future research direction.</w:t>
      </w: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bidi w:val="0"/>
        <w:ind w:firstLine="400" w:firstLineChars="20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bidi w:val="0"/>
        <w:ind w:firstLine="400" w:firstLineChars="20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bidi w:val="0"/>
        <w:ind w:firstLine="400" w:firstLineChars="20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bidi w:val="0"/>
        <w:ind w:firstLine="400" w:firstLineChars="20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bidi w:val="0"/>
        <w:jc w:val="both"/>
        <w:rPr>
          <w:rFonts w:hint="default"/>
          <w:b w:val="0"/>
          <w:bCs w:val="0"/>
          <w:szCs w:val="20"/>
          <w:lang w:val="en-US"/>
        </w:rPr>
      </w:pPr>
      <w:r>
        <w:rPr>
          <w:rFonts w:hint="default"/>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w:t>
      </w:r>
      <w:r>
        <w:rPr>
          <w:rFonts w:hint="default"/>
          <w:b w:val="0"/>
          <w:bCs w:val="0"/>
          <w:szCs w:val="20"/>
          <w:lang w:val="en-US"/>
        </w:rPr>
        <w:t xml:space="preserve">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6CB58207">
      <w:pPr>
        <w:pStyle w:val="9"/>
        <w:numPr>
          <w:ilvl w:val="0"/>
          <w:numId w:val="0"/>
        </w:numPr>
        <w:bidi w:val="0"/>
        <w:spacing w:after="120" w:line="228" w:lineRule="auto"/>
        <w:jc w:val="both"/>
        <w:rPr>
          <w:rFonts w:hint="default"/>
          <w:b/>
          <w:bCs/>
          <w:lang w:val="en-US"/>
        </w:rPr>
      </w:pPr>
    </w:p>
    <w:p w14:paraId="7BCD4052">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34" w:tblpY="3179"/>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3324"/>
        <w:gridCol w:w="2917"/>
        <w:gridCol w:w="3271"/>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3324"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2917"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271"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3324"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[15]</w:t>
            </w:r>
          </w:p>
        </w:tc>
        <w:tc>
          <w:tcPr>
            <w:tcW w:w="2917"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271"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3324"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[26]</w:t>
            </w:r>
          </w:p>
        </w:tc>
        <w:tc>
          <w:tcPr>
            <w:tcW w:w="2917"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271"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3324"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[17]</w:t>
            </w:r>
          </w:p>
        </w:tc>
        <w:tc>
          <w:tcPr>
            <w:tcW w:w="2917"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271"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3324"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[18]</w:t>
            </w:r>
          </w:p>
        </w:tc>
        <w:tc>
          <w:tcPr>
            <w:tcW w:w="2917"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271"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3324"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[19]</w:t>
            </w:r>
          </w:p>
        </w:tc>
        <w:tc>
          <w:tcPr>
            <w:tcW w:w="2917"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271"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3324"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[20]</w:t>
            </w:r>
          </w:p>
        </w:tc>
        <w:tc>
          <w:tcPr>
            <w:tcW w:w="2917"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271"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3324"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[21]</w:t>
            </w:r>
          </w:p>
        </w:tc>
        <w:tc>
          <w:tcPr>
            <w:tcW w:w="2917"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271"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3324"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[22]</w:t>
            </w:r>
          </w:p>
        </w:tc>
        <w:tc>
          <w:tcPr>
            <w:tcW w:w="2917"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271"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3324"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[23]</w:t>
            </w:r>
          </w:p>
        </w:tc>
        <w:tc>
          <w:tcPr>
            <w:tcW w:w="2917"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271"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3324"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[24]</w:t>
            </w:r>
          </w:p>
        </w:tc>
        <w:tc>
          <w:tcPr>
            <w:tcW w:w="2917"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271"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3324"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5)[25]</w:t>
            </w:r>
          </w:p>
        </w:tc>
        <w:tc>
          <w:tcPr>
            <w:tcW w:w="2917"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271"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3324"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[26]</w:t>
            </w:r>
          </w:p>
        </w:tc>
        <w:tc>
          <w:tcPr>
            <w:tcW w:w="2917"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271"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3324"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[27]</w:t>
            </w:r>
          </w:p>
        </w:tc>
        <w:tc>
          <w:tcPr>
            <w:tcW w:w="2917"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271"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3324"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[28]</w:t>
            </w:r>
          </w:p>
        </w:tc>
        <w:tc>
          <w:tcPr>
            <w:tcW w:w="2917"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271"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3324"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[29]</w:t>
            </w:r>
          </w:p>
        </w:tc>
        <w:tc>
          <w:tcPr>
            <w:tcW w:w="2917"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271"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3324"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[30]</w:t>
            </w:r>
          </w:p>
        </w:tc>
        <w:tc>
          <w:tcPr>
            <w:tcW w:w="2917"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271"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3324"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[31]</w:t>
            </w:r>
          </w:p>
        </w:tc>
        <w:tc>
          <w:tcPr>
            <w:tcW w:w="2917"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w:t>
            </w:r>
            <w:r>
              <w:rPr>
                <w:rFonts w:hint="default"/>
                <w:vertAlign w:val="baseline"/>
                <w:lang w:val="en-US"/>
              </w:rPr>
              <w:t xml:space="preserve"> and</w:t>
            </w:r>
            <w:r>
              <w:rPr>
                <w:rFonts w:hint="default"/>
                <w:vertAlign w:val="baseline"/>
              </w:rPr>
              <w:t xml:space="preserve"> UAV-assisted routing).</w:t>
            </w:r>
          </w:p>
        </w:tc>
        <w:tc>
          <w:tcPr>
            <w:tcW w:w="3271"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3324"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[32]</w:t>
            </w:r>
          </w:p>
        </w:tc>
        <w:tc>
          <w:tcPr>
            <w:tcW w:w="2917"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271"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3324"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[33]</w:t>
            </w:r>
          </w:p>
        </w:tc>
        <w:tc>
          <w:tcPr>
            <w:tcW w:w="2917"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271"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3324"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[34]</w:t>
            </w:r>
          </w:p>
        </w:tc>
        <w:tc>
          <w:tcPr>
            <w:tcW w:w="2917"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271"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3324"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[35]</w:t>
            </w:r>
          </w:p>
        </w:tc>
        <w:tc>
          <w:tcPr>
            <w:tcW w:w="2917"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271"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3324"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[36]</w:t>
            </w:r>
          </w:p>
        </w:tc>
        <w:tc>
          <w:tcPr>
            <w:tcW w:w="2917"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271"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21A7993D">
      <w:pPr>
        <w:pStyle w:val="9"/>
        <w:numPr>
          <w:ilvl w:val="0"/>
          <w:numId w:val="0"/>
        </w:numPr>
        <w:bidi w:val="0"/>
        <w:spacing w:after="120" w:line="228" w:lineRule="auto"/>
        <w:jc w:val="both"/>
        <w:rPr>
          <w:rFonts w:hint="default"/>
          <w:b/>
          <w:bCs/>
          <w:lang w:val="en-US"/>
        </w:rPr>
      </w:pPr>
    </w:p>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7AE20784">
      <w:pPr>
        <w:jc w:val="left"/>
        <w:rPr>
          <w:rFonts w:hint="default"/>
        </w:rPr>
      </w:pPr>
    </w:p>
    <w:p w14:paraId="2BEC0D7B">
      <w:pPr>
        <w:jc w:val="left"/>
        <w:rPr>
          <w:rFonts w:hint="default"/>
        </w:rPr>
      </w:pPr>
    </w:p>
    <w:p w14:paraId="3F0FD30B">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2336"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iCs/>
          <w:lang w:val="en-US"/>
        </w:rPr>
      </w:pPr>
      <w:r>
        <w:rPr>
          <w:rFonts w:hint="default"/>
          <w:i/>
          <w:iCs/>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Cambria Math" w:hAnsi="Cambria Math"/>
                      <w:lang w:val="en-US"/>
                    </w:rPr>
                    <m:t xml:space="preserve">        </m:t>
                  </m:r>
                  <m:r>
                    <m:rPr>
                      <m:sty m:val="p"/>
                    </m:rPr>
                    <w:rPr>
                      <w:rFonts w:hint="default" w:ascii="Times New Roman" w:hAnsi="Times New Roman"/>
                    </w:rPr>
                    <m:t>if</m:t>
                  </m:r>
                  <m:r>
                    <m:rPr>
                      <m:sty m:val="p"/>
                    </m:rPr>
                    <w:rPr>
                      <w:rFonts w:hint="default"/>
                      <w:lang w:val="en-US"/>
                    </w:rPr>
                    <m:t xml:space="preserve"> </m:t>
                  </m:r>
                  <m:r>
                    <m:rPr>
                      <m:sty m:val="p"/>
                    </m:rPr>
                    <w:rPr>
                      <w:rFonts w:hint="default" w:ascii="Times New Roman" w:hAnsi="Times New Roman"/>
                    </w:rPr>
                    <m:t>n∈G</m:t>
                  </m:r>
                  <m:ctrlPr>
                    <w:rPr>
                      <w:rFonts w:hint="default" w:ascii="Cambria Math" w:hAnsi="Cambria Math"/>
                    </w:rPr>
                  </m:ctrlPr>
                </m:e>
                <m:e>
                  <m:r>
                    <m:rPr>
                      <m:sty m:val="p"/>
                    </m:rPr>
                    <w:rPr>
                      <w:rFonts w:hint="default" w:ascii="Times New Roman" w:hAnsi="Times New Roman"/>
                    </w:rPr>
                    <m:t>0</m:t>
                  </m:r>
                  <m:r>
                    <m:rPr>
                      <m:sty m:val="p"/>
                    </m:rPr>
                    <w:rPr>
                      <w:rFonts w:hint="default"/>
                      <w:lang w:val="en-US"/>
                    </w:rPr>
                    <m:t xml:space="preserve">                     </m:t>
                  </m:r>
                  <m:r>
                    <m:rPr>
                      <m:sty m:val="p"/>
                    </m:rPr>
                    <w:rPr>
                      <w:rFonts w:hint="default" w:ascii="Times New Roman" w:hAnsi="Times New Roman"/>
                    </w:rPr>
                    <m:t>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i/>
          <w:iCs/>
          <w:lang w:val="en-US"/>
        </w:rPr>
      </w:pPr>
      <w:r>
        <w:rPr>
          <w:rFonts w:hint="default"/>
          <w:i/>
          <w:iCs/>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65408"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i/>
          <w:iCs/>
          <w:lang w:val="en-US"/>
        </w:rPr>
      </w:pPr>
    </w:p>
    <w:p w14:paraId="473896A3">
      <w:pPr>
        <w:bidi w:val="0"/>
        <w:jc w:val="both"/>
        <w:rPr>
          <w:rFonts w:hint="default"/>
          <w:i/>
          <w:iCs/>
          <w:lang w:val="en-US"/>
        </w:rPr>
      </w:pPr>
      <w:r>
        <w:rPr>
          <w:rFonts w:hint="default"/>
          <w:i/>
          <w:iCs/>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4384"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i/>
          <w:iCs/>
          <w:lang w:val="en-US"/>
        </w:rPr>
      </w:pPr>
      <w:r>
        <w:rPr>
          <w:rFonts w:hint="default"/>
          <w:i/>
          <w:iCs/>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Q-Learning Q-table also known as experience 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66432"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38CAF875">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218EF28B">
      <w:pPr>
        <w:bidi w:val="0"/>
        <w:jc w:val="both"/>
        <w:rPr>
          <w:rFonts w:hint="default"/>
          <w:i/>
          <w:iCs/>
          <w:lang w:val="en-US"/>
        </w:rPr>
      </w:pPr>
      <w:r>
        <w:rPr>
          <w:rFonts w:hint="default"/>
          <w:i/>
          <w:iCs/>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w:rPr>
          <w:rFonts w:hint="default" w:hAnsi="Cambria Math"/>
          <w:i w:val="0"/>
          <w:sz w:val="20"/>
          <w:szCs w:val="20"/>
          <w:lang w:val="en-US"/>
        </w:rPr>
      </w:pPr>
    </w:p>
    <w:p w14:paraId="4169F98C">
      <w:pPr>
        <w:bidi w:val="0"/>
        <w:jc w:val="both"/>
        <w:rPr>
          <w:rFonts w:hint="default" w:hAnsi="Cambria Math"/>
          <w:i w:val="0"/>
          <w:sz w:val="20"/>
          <w:szCs w:val="20"/>
          <w:lang w:val="en-US"/>
        </w:rPr>
      </w:pPr>
      <w: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w:rPr>
          <w:rFonts w:hint="default" w:hAnsi="SimSun" w:cs="SimSun"/>
          <w:i w:val="0"/>
          <w:sz w:val="20"/>
          <w:szCs w:val="20"/>
          <w:lang w:val="en-US"/>
        </w:rPr>
      </w:pPr>
      <w: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w:rPr>
          <w:rFonts w:hint="default" w:hAnsi="SimSun" w:eastAsia="SimSun" w:cs="SimSun"/>
          <w:i w:val="0"/>
          <w:sz w:val="20"/>
          <w:szCs w:val="20"/>
          <w:lang w:val="en-US"/>
        </w:rPr>
        <w:t>he effective channel gain between nodes i and j is computed as</w:t>
      </w:r>
      <w: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w:rPr>
          <w:rFonts w:hint="default" w:hAnsi="SimSun" w:cs="SimSun"/>
          <w:i w:val="0"/>
          <w:sz w:val="20"/>
          <w:szCs w:val="20"/>
          <w:lang w:val="en-US"/>
        </w:rPr>
      </w:pPr>
      <w:r>
        <w:drawing>
          <wp:anchor distT="0" distB="0" distL="114300" distR="114300" simplePos="0" relativeHeight="251667456"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inline distT="0" distB="0" distL="114300" distR="114300">
            <wp:extent cx="6420485" cy="3674745"/>
            <wp:effectExtent l="0" t="0" r="18415" b="1905"/>
            <wp:docPr id="16" name="Picture 16" descr="combinedLayer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ombinedLayers (12)"/>
                    <pic:cNvPicPr>
                      <a:picLocks noChangeAspect="1"/>
                    </pic:cNvPicPr>
                  </pic:nvPicPr>
                  <pic:blipFill>
                    <a:blip r:embed="rId16"/>
                    <a:stretch>
                      <a:fillRect/>
                    </a:stretch>
                  </pic:blipFill>
                  <pic:spPr>
                    <a:xfrm>
                      <a:off x="0" y="0"/>
                      <a:ext cx="6420485" cy="3674745"/>
                    </a:xfrm>
                    <a:prstGeom prst="rect">
                      <a:avLst/>
                    </a:prstGeom>
                  </pic:spPr>
                </pic:pic>
              </a:graphicData>
            </a:graphic>
          </wp:inline>
        </w:drawing>
      </w:r>
    </w:p>
    <w:p w14:paraId="33989425">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8. End-to-End Layer Integration</w:t>
      </w: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0553DE2C">
      <w:pPr>
        <w:bidi w:val="0"/>
        <w:jc w:val="both"/>
        <w:rPr>
          <w:rFonts w:hint="default"/>
          <w:lang w:val="en-US"/>
        </w:rPr>
      </w:pPr>
      <w:r>
        <w:rPr>
          <w:rFonts w:hint="default"/>
          <w:lang w:val="en-US"/>
        </w:rPr>
        <w:t>Figure 8 illustrates end-to-end integration of each layers of RLHC framework, which begins with layer 1 that is DEECP based probability computation incorporating residual energy and node heterogeneity, followed by utility-driven CH selection, then clusters are formed using a CH-guided K-Means approach to ensure spatial compactness after that a Q-learning module optimizes cluster operations dynamically using state inputs and finally a composite channel model (Rician small-scale + Log-normal large-scale fading) is used along with Dijkstra-based multi-hop routing for efficient data transmission.</w:t>
      </w:r>
    </w:p>
    <w:p w14:paraId="1FD64AF6">
      <w:pPr>
        <w:bidi w:val="0"/>
        <w:jc w:val="both"/>
        <w:rPr>
          <w:rFonts w:hint="default"/>
          <w:lang w:val="en-US"/>
        </w:rPr>
      </w:pPr>
    </w:p>
    <w:p w14:paraId="3AC9DB5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b w:val="0"/>
          <w:bCs w:val="0"/>
          <w:sz w:val="20"/>
          <w:szCs w:val="20"/>
          <w:lang w:val="en-US"/>
        </w:rPr>
        <w:t xml:space="preserve">Simulation </w:t>
      </w:r>
      <w:r>
        <w:rPr>
          <w:rFonts w:hint="default" w:ascii="Times New Roman" w:hAnsi="Times New Roman" w:eastAsia="SimSun" w:cs="Times New Roman"/>
          <w:color w:val="000000"/>
          <w:kern w:val="0"/>
          <w:sz w:val="20"/>
          <w:szCs w:val="20"/>
          <w:lang w:val="en-US" w:eastAsia="zh-CN" w:bidi="ar"/>
        </w:rPr>
        <w:t>parameters for Agri-IoT</w:t>
      </w:r>
    </w:p>
    <w:tbl>
      <w:tblPr>
        <w:tblStyle w:val="17"/>
        <w:tblpPr w:leftFromText="180" w:rightFromText="180" w:vertAnchor="page" w:horzAnchor="page" w:tblpX="1009" w:tblpY="10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3"/>
        <w:gridCol w:w="1903"/>
      </w:tblGrid>
      <w:tr w14:paraId="622E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shd w:val="clear" w:color="auto" w:fill="BEBEBE" w:themeFill="background1" w:themeFillShade="BF"/>
          </w:tcPr>
          <w:p w14:paraId="4E9AED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903" w:type="dxa"/>
            <w:shd w:val="clear" w:color="auto" w:fill="BEBEBE" w:themeFill="background1" w:themeFillShade="BF"/>
          </w:tcPr>
          <w:p w14:paraId="4A65E95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0058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19B2C0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903" w:type="dxa"/>
          </w:tcPr>
          <w:p w14:paraId="02721FA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1000</w:t>
            </w:r>
            <w:r>
              <w:rPr>
                <w:rFonts w:hint="default" w:ascii="Times New Roman" w:hAnsi="Times New Roman" w:eastAsia="SimSun" w:cs="Times New Roman"/>
                <w:color w:val="000000"/>
                <w:kern w:val="0"/>
                <w:sz w:val="20"/>
                <w:szCs w:val="20"/>
                <w:vertAlign w:val="baseline"/>
                <w:lang w:val="en-US" w:eastAsia="zh-CN" w:bidi="ar"/>
              </w:rPr>
              <w:t xml:space="preserve">m x </w:t>
            </w:r>
            <w:r>
              <w:rPr>
                <w:rFonts w:hint="default" w:cs="Times New Roman"/>
                <w:color w:val="000000"/>
                <w:kern w:val="0"/>
                <w:sz w:val="20"/>
                <w:szCs w:val="20"/>
                <w:vertAlign w:val="baseline"/>
                <w:lang w:val="en-US" w:eastAsia="zh-CN" w:bidi="ar"/>
              </w:rPr>
              <w:t>10</w:t>
            </w:r>
            <w:r>
              <w:rPr>
                <w:rFonts w:hint="default" w:ascii="Times New Roman" w:hAnsi="Times New Roman" w:eastAsia="SimSun" w:cs="Times New Roman"/>
                <w:color w:val="000000"/>
                <w:kern w:val="0"/>
                <w:sz w:val="20"/>
                <w:szCs w:val="20"/>
                <w:vertAlign w:val="baseline"/>
                <w:lang w:val="en-US" w:eastAsia="zh-CN" w:bidi="ar"/>
              </w:rPr>
              <w:t>00m</w:t>
            </w:r>
          </w:p>
        </w:tc>
      </w:tr>
      <w:tr w14:paraId="25D8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10FCC3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903" w:type="dxa"/>
          </w:tcPr>
          <w:p w14:paraId="33D5BE0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150</w:t>
            </w:r>
          </w:p>
        </w:tc>
      </w:tr>
      <w:tr w14:paraId="1D3D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DBE68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903" w:type="dxa"/>
          </w:tcPr>
          <w:p w14:paraId="29668B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D66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E2E8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903" w:type="dxa"/>
          </w:tcPr>
          <w:p w14:paraId="0CAB79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128 bytes</w:t>
            </w:r>
          </w:p>
        </w:tc>
      </w:tr>
      <w:tr w14:paraId="3E3CA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CBAED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903" w:type="dxa"/>
          </w:tcPr>
          <w:p w14:paraId="7A38C27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14FE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88B429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903" w:type="dxa"/>
          </w:tcPr>
          <w:p w14:paraId="39AB910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1C3E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487B150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903" w:type="dxa"/>
          </w:tcPr>
          <w:p w14:paraId="7B123F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B49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07B3C5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903" w:type="dxa"/>
          </w:tcPr>
          <w:p w14:paraId="0DB286E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35C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CB46A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903" w:type="dxa"/>
          </w:tcPr>
          <w:p w14:paraId="27B3704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64DB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12253D9">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903" w:type="dxa"/>
          </w:tcPr>
          <w:p w14:paraId="2321496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1000 - 4000</w:t>
            </w:r>
          </w:p>
        </w:tc>
      </w:tr>
      <w:tr w14:paraId="14DC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043700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Sectorization</w:t>
            </w:r>
          </w:p>
        </w:tc>
        <w:tc>
          <w:tcPr>
            <w:tcW w:w="1903" w:type="dxa"/>
          </w:tcPr>
          <w:p w14:paraId="0C54889D">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3 × 3 grid (9 sectors)</w:t>
            </w:r>
          </w:p>
        </w:tc>
      </w:tr>
      <w:tr w14:paraId="157D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6A7BC8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Operating Frequency</w:t>
            </w:r>
          </w:p>
        </w:tc>
        <w:tc>
          <w:tcPr>
            <w:tcW w:w="1903" w:type="dxa"/>
          </w:tcPr>
          <w:p w14:paraId="5EB6F636">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865 MHz (LoRa)</w:t>
            </w:r>
          </w:p>
        </w:tc>
      </w:tr>
    </w:tbl>
    <w:p w14:paraId="22D64660">
      <w:pPr>
        <w:bidi w:val="0"/>
        <w:jc w:val="both"/>
        <w:rPr>
          <w:rFonts w:hint="default"/>
          <w:lang w:val="en-US"/>
        </w:rPr>
      </w:pPr>
    </w:p>
    <w:p w14:paraId="43F37A3C">
      <w:pPr>
        <w:bidi w:val="0"/>
        <w:jc w:val="both"/>
        <w:rPr>
          <w:rFonts w:hint="default"/>
          <w:lang w:val="en-US"/>
        </w:rPr>
      </w:pPr>
      <w:r>
        <w:rPr>
          <w:rFonts w:hint="default"/>
          <w:lang w:val="en-US"/>
        </w:rPr>
        <w:t>This framework is deployed in two fashions. First one is centralized approach, where the entire framework operates at the BS, where global network information is available then it disseminates decisions to sensor nodes. Second one is federated (distributed) approach, where the framework is executed at the CH level. Each CH locally performs all the operation then the local Q-Table are aggregated at BS after ‘n’ numbers of  rounds to reach a global policy.</w:t>
      </w: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3BA89860">
      <w:pPr>
        <w:bidi w:val="0"/>
        <w:jc w:val="both"/>
        <w:rPr>
          <w:rFonts w:hint="default"/>
          <w:lang w:val="en-US"/>
        </w:rPr>
      </w:pPr>
      <w:r>
        <w:rPr>
          <w:rFonts w:hint="default"/>
          <w:lang w:val="en-US"/>
        </w:rPr>
        <w:t xml:space="preserve">This section presents the performance evaluation of the various energy optimization </w:t>
      </w:r>
      <w:r>
        <w:rPr>
          <w:rFonts w:hint="default"/>
          <w:b w:val="0"/>
          <w:bCs w:val="0"/>
          <w:i w:val="0"/>
          <w:iCs w:val="0"/>
          <w:sz w:val="20"/>
          <w:szCs w:val="20"/>
          <w:lang w:val="en-US"/>
        </w:rPr>
        <w:t xml:space="preserve">algorithms </w:t>
      </w:r>
      <w:r>
        <w:rPr>
          <w:rFonts w:hint="default"/>
          <w:lang w:val="en-US"/>
        </w:rPr>
        <w:t xml:space="preserve">and the proposed framework. The analysis focuses on the </w:t>
      </w:r>
      <w:r>
        <w:rPr>
          <w:rFonts w:hint="default"/>
          <w:color w:val="000000"/>
          <w:kern w:val="0"/>
          <w:sz w:val="20"/>
          <w:szCs w:val="20"/>
          <w:lang w:val="en-US" w:eastAsia="zh-CN"/>
        </w:rPr>
        <w:t xml:space="preserve">sectoral survivability,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04320D24">
      <w:pPr>
        <w:bidi w:val="0"/>
        <w:jc w:val="both"/>
        <w:rPr>
          <w:rFonts w:hint="default"/>
          <w:sz w:val="16"/>
          <w:szCs w:val="16"/>
          <w:lang w:val="en-US"/>
        </w:rPr>
      </w:pPr>
      <w:r>
        <w:rPr>
          <w:rFonts w:hint="default"/>
          <w:lang w:val="en-US"/>
        </w:rPr>
        <w:drawing>
          <wp:anchor distT="0" distB="0" distL="114300" distR="114300" simplePos="0" relativeHeight="251668480" behindDoc="0" locked="0" layoutInCell="1" allowOverlap="1">
            <wp:simplePos x="0" y="0"/>
            <wp:positionH relativeFrom="column">
              <wp:posOffset>0</wp:posOffset>
            </wp:positionH>
            <wp:positionV relativeFrom="paragraph">
              <wp:posOffset>71120</wp:posOffset>
            </wp:positionV>
            <wp:extent cx="3077210" cy="1040765"/>
            <wp:effectExtent l="0" t="0" r="8890" b="6985"/>
            <wp:wrapTopAndBottom/>
            <wp:docPr id="8" name="Picture 8" descr="secto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ctor_comparison"/>
                    <pic:cNvPicPr>
                      <a:picLocks noChangeAspect="1"/>
                    </pic:cNvPicPr>
                  </pic:nvPicPr>
                  <pic:blipFill>
                    <a:blip r:embed="rId17"/>
                    <a:stretch>
                      <a:fillRect/>
                    </a:stretch>
                  </pic:blipFill>
                  <pic:spPr>
                    <a:xfrm>
                      <a:off x="0" y="0"/>
                      <a:ext cx="3077210" cy="1040765"/>
                    </a:xfrm>
                    <a:prstGeom prst="rect">
                      <a:avLst/>
                    </a:prstGeom>
                  </pic:spPr>
                </pic:pic>
              </a:graphicData>
            </a:graphic>
          </wp:anchor>
        </w:drawing>
      </w:r>
    </w:p>
    <w:p w14:paraId="2DE7D22E">
      <w:pPr>
        <w:bidi w:val="0"/>
        <w:jc w:val="center"/>
        <w:rPr>
          <w:rFonts w:hint="default"/>
          <w:sz w:val="16"/>
          <w:szCs w:val="16"/>
          <w:lang w:val="en-US"/>
        </w:rPr>
      </w:pPr>
      <w:r>
        <w:rPr>
          <w:rFonts w:hint="default"/>
          <w:sz w:val="16"/>
          <w:szCs w:val="16"/>
          <w:lang w:val="en-US"/>
        </w:rPr>
        <w:drawing>
          <wp:inline distT="0" distB="0" distL="114300" distR="114300">
            <wp:extent cx="3077210" cy="1040765"/>
            <wp:effectExtent l="0" t="0" r="8890" b="6985"/>
            <wp:docPr id="15" name="Picture 15" descr="sector_comparis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ector_comparison1"/>
                    <pic:cNvPicPr>
                      <a:picLocks noChangeAspect="1"/>
                    </pic:cNvPicPr>
                  </pic:nvPicPr>
                  <pic:blipFill>
                    <a:blip r:embed="rId18"/>
                    <a:stretch>
                      <a:fillRect/>
                    </a:stretch>
                  </pic:blipFill>
                  <pic:spPr>
                    <a:xfrm>
                      <a:off x="0" y="0"/>
                      <a:ext cx="3077210" cy="1040765"/>
                    </a:xfrm>
                    <a:prstGeom prst="rect">
                      <a:avLst/>
                    </a:prstGeom>
                  </pic:spPr>
                </pic:pic>
              </a:graphicData>
            </a:graphic>
          </wp:inline>
        </w:drawing>
      </w:r>
    </w:p>
    <w:p w14:paraId="1888B25B">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t>Figure 9. Sectoral survival/coverage after 1000 rounds of simulation</w:t>
      </w:r>
    </w:p>
    <w:p w14:paraId="0536E847">
      <w:pPr>
        <w:bidi w:val="0"/>
        <w:jc w:val="center"/>
        <w:rPr>
          <w:rFonts w:hint="default"/>
          <w:sz w:val="16"/>
          <w:szCs w:val="16"/>
          <w:lang w:val="en-US"/>
        </w:rPr>
      </w:pPr>
    </w:p>
    <w:p w14:paraId="74362420">
      <w:pPr>
        <w:bidi w:val="0"/>
        <w:jc w:val="both"/>
        <w:rPr>
          <w:rFonts w:hint="default"/>
          <w:lang w:val="en-US"/>
        </w:rPr>
      </w:pPr>
      <w:r>
        <w:rPr>
          <w:rFonts w:hint="default"/>
          <w:lang w:val="en-US"/>
        </w:rPr>
        <w:t xml:space="preserve">Figure 9 represents a comparative analysis of clustering protocols LEACH, DEEC, FCM, PSO, ACO and RLHC evaluated over a 1000 × 1000 m² network area partitioned into nine (3x3) sectors. Gray shading indicates sectors that lost coverage before the final round, while annotated values denote the exact round of sector coverage failure. LEACH exhibits the poorest reliability, with only 1 sector remaining operational up to round 1000. DEEC shows marginal improvement, sustaining 3 sectors until the final round. FCM and PSO demonstrate significantly enhanced performance, maintaining 7 and 6 sectors, respectively. ACO further improves robustness with 8 sectors surviving through round 1000. In contrast, RLHC achieves complete network stability, with all 9 sectors remaining functional until the end, indicating superior reliability and coverage preservation. </w:t>
      </w:r>
    </w:p>
    <w:p w14:paraId="4B01D2EE">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9504" behindDoc="0" locked="0" layoutInCell="1" allowOverlap="1">
            <wp:simplePos x="0" y="0"/>
            <wp:positionH relativeFrom="column">
              <wp:posOffset>0</wp:posOffset>
            </wp:positionH>
            <wp:positionV relativeFrom="paragraph">
              <wp:posOffset>67945</wp:posOffset>
            </wp:positionV>
            <wp:extent cx="3075940" cy="2073275"/>
            <wp:effectExtent l="0" t="0" r="10160" b="3175"/>
            <wp:wrapTopAndBottom/>
            <wp:docPr id="17" name="Picture 17" descr="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ode_death_comparison"/>
                    <pic:cNvPicPr>
                      <a:picLocks noChangeAspect="1"/>
                    </pic:cNvPicPr>
                  </pic:nvPicPr>
                  <pic:blipFill>
                    <a:blip r:embed="rId19"/>
                    <a:stretch>
                      <a:fillRect/>
                    </a:stretch>
                  </pic:blipFill>
                  <pic:spPr>
                    <a:xfrm>
                      <a:off x="0" y="0"/>
                      <a:ext cx="3075940" cy="2073275"/>
                    </a:xfrm>
                    <a:prstGeom prst="rect">
                      <a:avLst/>
                    </a:prstGeom>
                  </pic:spPr>
                </pic:pic>
              </a:graphicData>
            </a:graphic>
          </wp:anchor>
        </w:drawing>
      </w:r>
      <w:r>
        <w:rPr>
          <w:rFonts w:hint="default"/>
          <w:sz w:val="16"/>
          <w:szCs w:val="16"/>
          <w:lang w:val="en-US"/>
        </w:rPr>
        <w:t>Figure 9. Number of dead nodes in each rounds of simulation</w:t>
      </w:r>
    </w:p>
    <w:p w14:paraId="5B160693">
      <w:pPr>
        <w:bidi w:val="0"/>
        <w:jc w:val="center"/>
        <w:rPr>
          <w:rFonts w:hint="default"/>
          <w:sz w:val="16"/>
          <w:szCs w:val="16"/>
          <w:lang w:val="en-US"/>
        </w:rPr>
      </w:pPr>
    </w:p>
    <w:p w14:paraId="1CCE8737">
      <w:pPr>
        <w:bidi w:val="0"/>
        <w:jc w:val="both"/>
        <w:rPr>
          <w:rFonts w:hint="default"/>
          <w:lang w:val="en-US"/>
        </w:rPr>
      </w:pPr>
      <w:r>
        <w:rPr>
          <w:rFonts w:hint="default"/>
          <w:lang w:val="en-US"/>
        </w:rPr>
        <w:t>Figure 9 shows the progression of node deaths over simulation rounds for different clustering protocols. A clear performance gap is observed across the protocols. LEACH and DEEC show the worst outcomes, with 138/150 and 142/150 nodes dead respectively, indicating rapid energy depletion and poor network sustainability. Metaheuristic approaches improve this significantly, PSO 108/150 and FCM 107/150 reduce node deaths moderately, while ACO performs better with 94/150 dead nodes. The proposed RLHC approaches outperform all others by a large margin. RLHC (Centralized) records the lowest node deaths at 55/150, followed by RLHC (Federated) at 62/150, demonstrating superior energy efficiency and prolonged network lifetime.</w:t>
      </w:r>
    </w:p>
    <w:p w14:paraId="33DA5638">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lang w:val="en-US"/>
        </w:rPr>
        <w:drawing>
          <wp:anchor distT="0" distB="0" distL="114300" distR="114300" simplePos="0" relativeHeight="251670528" behindDoc="0" locked="0" layoutInCell="1" allowOverlap="1">
            <wp:simplePos x="0" y="0"/>
            <wp:positionH relativeFrom="column">
              <wp:posOffset>0</wp:posOffset>
            </wp:positionH>
            <wp:positionV relativeFrom="paragraph">
              <wp:posOffset>116205</wp:posOffset>
            </wp:positionV>
            <wp:extent cx="3075305" cy="1901190"/>
            <wp:effectExtent l="0" t="0" r="10795" b="3810"/>
            <wp:wrapTopAndBottom/>
            <wp:docPr id="18" name="Picture 18" descr="e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energy_consumption_comparison"/>
                    <pic:cNvPicPr>
                      <a:picLocks noChangeAspect="1"/>
                    </pic:cNvPicPr>
                  </pic:nvPicPr>
                  <pic:blipFill>
                    <a:blip r:embed="rId20"/>
                    <a:stretch>
                      <a:fillRect/>
                    </a:stretch>
                  </pic:blipFill>
                  <pic:spPr>
                    <a:xfrm>
                      <a:off x="0" y="0"/>
                      <a:ext cx="3075305" cy="1901190"/>
                    </a:xfrm>
                    <a:prstGeom prst="rect">
                      <a:avLst/>
                    </a:prstGeom>
                  </pic:spPr>
                </pic:pic>
              </a:graphicData>
            </a:graphic>
          </wp:anchor>
        </w:drawing>
      </w:r>
      <w:r>
        <w:rPr>
          <w:rFonts w:hint="default"/>
          <w:sz w:val="16"/>
          <w:szCs w:val="16"/>
          <w:lang w:val="en-US"/>
        </w:rPr>
        <w:t>Figure 10. Total energy consumption in each rounds of simulation</w:t>
      </w:r>
    </w:p>
    <w:p w14:paraId="709447B7">
      <w:pPr>
        <w:bidi w:val="0"/>
        <w:jc w:val="center"/>
        <w:rPr>
          <w:rFonts w:hint="default"/>
          <w:sz w:val="16"/>
          <w:szCs w:val="16"/>
          <w:lang w:val="en-US"/>
        </w:rPr>
      </w:pPr>
    </w:p>
    <w:p w14:paraId="5F5DCE11">
      <w:pPr>
        <w:bidi w:val="0"/>
        <w:jc w:val="both"/>
        <w:rPr>
          <w:rFonts w:hint="default"/>
          <w:lang w:val="en-US"/>
        </w:rPr>
      </w:pPr>
      <w:r>
        <w:rPr>
          <w:rFonts w:hint="default"/>
          <w:lang w:val="en-US"/>
        </w:rPr>
        <w:t>Figure 10 represents the total energy consumption of different clustering protocols after 1000 simulation rounds. It highlights a clear variation in energy efficiency across methods. LEACH and DEEC exhibit the highest energy consumption, utilizing 297 J and 295 J out of the available 300 J, indicating inefficient energy utilization and rapid depletion of network resources. In contrast, optimization-based approaches such as PSO (251 J), FCM (240 J) and ACO (220 J) demonstrate improved energy efficiency by reducing overall consumption. Notably, the proposed RLHC approaches achieve the best performance, with RLHC (Centralized) consuming the least energy at 197 J, followed by RLHC (Federated) at 214 J. This indicates that RLHC significantly enhances energy conservation, contributing to prolonged network lifetime and improved stability.</w:t>
      </w:r>
    </w:p>
    <w:p w14:paraId="4580F4DA">
      <w:pPr>
        <w:bidi w:val="0"/>
        <w:jc w:val="both"/>
        <w:rPr>
          <w:rFonts w:hint="default"/>
          <w:lang w:val="en-US"/>
        </w:rPr>
      </w:pPr>
    </w:p>
    <w:p w14:paraId="23C98FF4">
      <w:pPr>
        <w:bidi w:val="0"/>
        <w:jc w:val="both"/>
        <w:rPr>
          <w:rFonts w:hint="default"/>
          <w:lang w:val="en-US"/>
        </w:rPr>
      </w:pPr>
      <w:r>
        <w:rPr>
          <w:rFonts w:hint="default"/>
          <w:lang w:val="en-US"/>
        </w:rPr>
        <w:drawing>
          <wp:inline distT="0" distB="0" distL="114300" distR="114300">
            <wp:extent cx="3074670" cy="1996440"/>
            <wp:effectExtent l="0" t="0" r="11430" b="3810"/>
            <wp:docPr id="20" name="Picture 20" descr="cumulative_throughput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umulative_throughput_comparison"/>
                    <pic:cNvPicPr>
                      <a:picLocks noChangeAspect="1"/>
                    </pic:cNvPicPr>
                  </pic:nvPicPr>
                  <pic:blipFill>
                    <a:blip r:embed="rId21"/>
                    <a:stretch>
                      <a:fillRect/>
                    </a:stretch>
                  </pic:blipFill>
                  <pic:spPr>
                    <a:xfrm>
                      <a:off x="0" y="0"/>
                      <a:ext cx="3074670" cy="1996440"/>
                    </a:xfrm>
                    <a:prstGeom prst="rect">
                      <a:avLst/>
                    </a:prstGeom>
                  </pic:spPr>
                </pic:pic>
              </a:graphicData>
            </a:graphic>
          </wp:inline>
        </w:drawing>
      </w:r>
    </w:p>
    <w:p w14:paraId="4319E7FD">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11. Cumulative throughput in each rounds of simulation</w:t>
      </w:r>
    </w:p>
    <w:p w14:paraId="23EFAEF0">
      <w:pPr>
        <w:bidi w:val="0"/>
        <w:jc w:val="both"/>
        <w:rPr>
          <w:rFonts w:hint="default"/>
          <w:lang w:val="en-US"/>
        </w:rPr>
      </w:pPr>
    </w:p>
    <w:p w14:paraId="7F1F7D14">
      <w:pPr>
        <w:bidi w:val="0"/>
        <w:jc w:val="both"/>
        <w:rPr>
          <w:rFonts w:hint="default"/>
          <w:lang w:val="en-US"/>
        </w:rPr>
      </w:pPr>
      <w:r>
        <w:rPr>
          <w:rFonts w:hint="default"/>
          <w:lang w:val="en-US"/>
        </w:rPr>
        <w:t>Figure 11 compares throughput across clustering protocols after 1000 rounds. LEACH and DEEC show the lowest performance (22 and 38 kbps) due to high energy consumption and node deaths. PSO, FCM and ACO achieve moderate throughput (~77–81 kbps) whereas RLHC methods outperform all, with RLHC (Centralized) reaching 133 kbps and RLHC (Federated) 118 kbps, due to better energy efficiency, fewer dead nodes and full sector survivability.</w:t>
      </w:r>
    </w:p>
    <w:p w14:paraId="565CB78F">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0</wp:posOffset>
            </wp:positionH>
            <wp:positionV relativeFrom="paragraph">
              <wp:posOffset>90170</wp:posOffset>
            </wp:positionV>
            <wp:extent cx="3075305" cy="3698240"/>
            <wp:effectExtent l="0" t="0" r="10795" b="16510"/>
            <wp:wrapTopAndBottom/>
            <wp:docPr id="23" name="Picture 23" descr="pd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pdr_comparison"/>
                    <pic:cNvPicPr>
                      <a:picLocks noChangeAspect="1"/>
                    </pic:cNvPicPr>
                  </pic:nvPicPr>
                  <pic:blipFill>
                    <a:blip r:embed="rId22"/>
                    <a:stretch>
                      <a:fillRect/>
                    </a:stretch>
                  </pic:blipFill>
                  <pic:spPr>
                    <a:xfrm>
                      <a:off x="0" y="0"/>
                      <a:ext cx="3075305" cy="3698240"/>
                    </a:xfrm>
                    <a:prstGeom prst="rect">
                      <a:avLst/>
                    </a:prstGeom>
                  </pic:spPr>
                </pic:pic>
              </a:graphicData>
            </a:graphic>
          </wp:anchor>
        </w:drawing>
      </w:r>
      <w:r>
        <w:rPr>
          <w:rFonts w:hint="default"/>
          <w:sz w:val="16"/>
          <w:szCs w:val="16"/>
          <w:lang w:val="en-US"/>
        </w:rPr>
        <w:t>Figure 12. Avg. Packet delivery ratio after 1000 rounds of simulation</w:t>
      </w:r>
    </w:p>
    <w:p w14:paraId="0B312E61">
      <w:pPr>
        <w:bidi w:val="0"/>
        <w:jc w:val="both"/>
        <w:rPr>
          <w:rFonts w:hint="default"/>
          <w:lang w:val="en-US"/>
        </w:rPr>
      </w:pPr>
    </w:p>
    <w:p w14:paraId="2C9406C4">
      <w:pPr>
        <w:bidi w:val="0"/>
        <w:jc w:val="both"/>
        <w:rPr>
          <w:rFonts w:hint="default"/>
          <w:lang w:val="en-US"/>
        </w:rPr>
      </w:pPr>
      <w:r>
        <w:rPr>
          <w:rFonts w:hint="default"/>
          <w:lang w:val="en-US"/>
        </w:rPr>
        <w:t>Figure 12 represents the average Packet Delivery Ratio (PDR) of different protocols, indicating overall communication reliability. All methods achieve high PDR values (&gt;99%), showing stable packet transmission. However, RLHC (Federated) achieves the highest PDR at 99.95%, followed by RLHC (Centralized) at 99.92%, indicating superior reliability. ACO also performs well (99.86%), while FCM shows slightly lower performance (99.52%). LEACH, DEEC and PSO maintain comparable performance around 99.71 to 99.74%, but remain slightly below the proposed methods.</w:t>
      </w:r>
    </w:p>
    <w:p w14:paraId="5AD64C19">
      <w:pPr>
        <w:bidi w:val="0"/>
        <w:ind w:firstLine="400" w:firstLineChars="200"/>
        <w:jc w:val="both"/>
        <w:rPr>
          <w:rFonts w:hint="default"/>
          <w:lang w:val="en-US"/>
        </w:rPr>
      </w:pPr>
      <w:r>
        <w:rPr>
          <w:rFonts w:hint="default"/>
          <w:lang w:val="en-US"/>
        </w:rPr>
        <w:t>At this stage, it is evident that RLHC outperforms all other protocols across key performance metrics. To further differentiate between the two RLHC variants, the simulation is extended until 90% of the nodes are depleted/dead. This extended evaluation enables a more rigorous comparison of RLHC (Centralized) and RLHC (Federated), allowing us to determine which approach sustains performance more effectively under extreme network degradation conditions.</w:t>
      </w:r>
    </w:p>
    <w:p w14:paraId="4F2F7831">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2576" behindDoc="0" locked="0" layoutInCell="1" allowOverlap="1">
            <wp:simplePos x="0" y="0"/>
            <wp:positionH relativeFrom="column">
              <wp:posOffset>-17145</wp:posOffset>
            </wp:positionH>
            <wp:positionV relativeFrom="paragraph">
              <wp:posOffset>82550</wp:posOffset>
            </wp:positionV>
            <wp:extent cx="3075940" cy="2073275"/>
            <wp:effectExtent l="0" t="0" r="10160" b="3175"/>
            <wp:wrapTopAndBottom/>
            <wp:docPr id="24" name="Picture 24" descr="cen_fed_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en_fed_node_death_comparison"/>
                    <pic:cNvPicPr>
                      <a:picLocks noChangeAspect="1"/>
                    </pic:cNvPicPr>
                  </pic:nvPicPr>
                  <pic:blipFill>
                    <a:blip r:embed="rId23"/>
                    <a:stretch>
                      <a:fillRect/>
                    </a:stretch>
                  </pic:blipFill>
                  <pic:spPr>
                    <a:xfrm>
                      <a:off x="0" y="0"/>
                      <a:ext cx="3075940" cy="2073275"/>
                    </a:xfrm>
                    <a:prstGeom prst="rect">
                      <a:avLst/>
                    </a:prstGeom>
                  </pic:spPr>
                </pic:pic>
              </a:graphicData>
            </a:graphic>
          </wp:anchor>
        </w:drawing>
      </w:r>
      <w:r>
        <w:rPr>
          <w:rFonts w:hint="default"/>
          <w:sz w:val="16"/>
          <w:szCs w:val="16"/>
          <w:lang w:val="en-US"/>
        </w:rPr>
        <w:t>Figure 12. Number of node death after 4000 rounds of simulation</w:t>
      </w:r>
    </w:p>
    <w:p w14:paraId="20F4956D">
      <w:pPr>
        <w:bidi w:val="0"/>
        <w:jc w:val="both"/>
        <w:rPr>
          <w:rFonts w:hint="default"/>
          <w:lang w:val="en-US"/>
        </w:rPr>
      </w:pPr>
    </w:p>
    <w:p w14:paraId="612F45CF">
      <w:pPr>
        <w:bidi w:val="0"/>
        <w:jc w:val="both"/>
        <w:rPr>
          <w:rFonts w:hint="default"/>
          <w:lang w:val="en-US"/>
        </w:rPr>
      </w:pPr>
      <w:r>
        <w:rPr>
          <w:rFonts w:hint="default"/>
          <w:lang w:val="en-US"/>
        </w:rPr>
        <w:t>Figure 12 represents the performance comparison of RLHC (Centralized) and RLHC (Federated) extended up to 4000 simulation rounds, under severe network degradation(&gt;90% node died). RLHC (Federated) demonstrates better robustness, with 3/9 sectors surviving and fewer dead nodes (130/150) compared to RLHC (Centralized), which retains only 1/9 sector with 140/150 dead nodes. Additionally it consumes less energy (286 J vs. 297 J) which is evident in the figure 13.</w:t>
      </w:r>
    </w:p>
    <w:p w14:paraId="1A393A53">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3600" behindDoc="0" locked="0" layoutInCell="1" allowOverlap="1">
            <wp:simplePos x="0" y="0"/>
            <wp:positionH relativeFrom="column">
              <wp:posOffset>3394075</wp:posOffset>
            </wp:positionH>
            <wp:positionV relativeFrom="paragraph">
              <wp:posOffset>-4916170</wp:posOffset>
            </wp:positionV>
            <wp:extent cx="3075305" cy="1901190"/>
            <wp:effectExtent l="0" t="0" r="10795" b="3810"/>
            <wp:wrapTopAndBottom/>
            <wp:docPr id="27" name="Picture 27" descr="cen_fed_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en_fed_nergy_consumption_comparison"/>
                    <pic:cNvPicPr>
                      <a:picLocks noChangeAspect="1"/>
                    </pic:cNvPicPr>
                  </pic:nvPicPr>
                  <pic:blipFill>
                    <a:blip r:embed="rId24"/>
                    <a:stretch>
                      <a:fillRect/>
                    </a:stretch>
                  </pic:blipFill>
                  <pic:spPr>
                    <a:xfrm>
                      <a:off x="0" y="0"/>
                      <a:ext cx="3075305" cy="1901190"/>
                    </a:xfrm>
                    <a:prstGeom prst="rect">
                      <a:avLst/>
                    </a:prstGeom>
                  </pic:spPr>
                </pic:pic>
              </a:graphicData>
            </a:graphic>
          </wp:anchor>
        </w:drawing>
      </w:r>
      <w:r>
        <w:rPr>
          <w:rFonts w:hint="default"/>
          <w:sz w:val="16"/>
          <w:szCs w:val="16"/>
          <w:lang w:val="en-US"/>
        </w:rPr>
        <w:t>Figure 13. Total energy consumption after 4000 rounds of simulation</w:t>
      </w:r>
    </w:p>
    <w:p w14:paraId="633C33C7">
      <w:pPr>
        <w:bidi w:val="0"/>
        <w:jc w:val="both"/>
        <w:rPr>
          <w:rFonts w:hint="default"/>
          <w:lang w:val="en-US"/>
        </w:rPr>
      </w:pPr>
    </w:p>
    <w:p w14:paraId="106B4C11">
      <w:pPr>
        <w:bidi w:val="0"/>
        <w:jc w:val="both"/>
        <w:rPr>
          <w:rFonts w:hint="default"/>
          <w:lang w:val="en-US"/>
        </w:rPr>
      </w:pPr>
      <w:r>
        <w:rPr>
          <w:rFonts w:hint="default"/>
          <w:lang w:val="en-US"/>
        </w:rPr>
        <w:t>The results show that RLHC outperforms all other protocols at 1000 rounds, achieving maximum sector survivability, lowest energy consumption, fewer dead nodes and highest throughput with excellent PDR. However, at 4000 rounds under severe network degradation, RLHC (Federated) proves more robust, maintaining more surviving sectors, lower energy usage and higher reliability, while RLHC (Centralized) offers slightly higher throughput but degrades faster. Overall, Federated RLHC is better suited for long-term network sustainability.</w:t>
      </w:r>
    </w:p>
    <w:p w14:paraId="496537C4">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520DB562">
      <w:pPr>
        <w:bidi w:val="0"/>
        <w:jc w:val="both"/>
        <w:rPr>
          <w:rFonts w:hint="default"/>
          <w:lang w:val="en-US"/>
        </w:rPr>
      </w:pPr>
    </w:p>
    <w:p w14:paraId="681681F7">
      <w:pPr>
        <w:bidi w:val="0"/>
        <w:jc w:val="both"/>
        <w:rPr>
          <w:rFonts w:hint="default"/>
          <w:i w:val="0"/>
          <w:iCs w:val="0"/>
          <w:sz w:val="20"/>
          <w:szCs w:val="20"/>
          <w:lang w:val="en-US"/>
        </w:rPr>
        <w:sectPr>
          <w:type w:val="continuous"/>
          <w:pgSz w:w="11906" w:h="16838"/>
          <w:pgMar w:top="1080" w:right="893" w:bottom="1080" w:left="893" w:header="720" w:footer="720" w:gutter="0"/>
          <w:cols w:space="425" w:num="1"/>
          <w:docGrid w:linePitch="360" w:charSpace="0"/>
        </w:sect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Table 3:</w:t>
      </w:r>
      <w:r>
        <w:rPr>
          <w:rFonts w:hint="default"/>
          <w:b w:val="0"/>
          <w:bCs w:val="0"/>
          <w:sz w:val="20"/>
          <w:szCs w:val="20"/>
          <w:lang w:val="en-US"/>
        </w:rPr>
        <w:t xml:space="preserve"> Summary of performance after 1000 rounds of simulation</w:t>
      </w:r>
    </w:p>
    <w:p w14:paraId="1BCA7EF1">
      <w:pPr>
        <w:pStyle w:val="9"/>
        <w:numPr>
          <w:ilvl w:val="0"/>
          <w:numId w:val="0"/>
        </w:numPr>
        <w:bidi w:val="0"/>
        <w:ind w:leftChars="0"/>
        <w:rPr>
          <w:rFonts w:hint="default"/>
          <w:lang w:val="en-US"/>
        </w:rPr>
      </w:pPr>
    </w:p>
    <w:tbl>
      <w:tblPr>
        <w:tblStyle w:val="17"/>
        <w:tblpPr w:leftFromText="180" w:rightFromText="180" w:vertAnchor="page" w:horzAnchor="page" w:tblpX="1037" w:tblpY="9424"/>
        <w:tblOverlap w:val="never"/>
        <w:tblW w:w="100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6"/>
        <w:gridCol w:w="1675"/>
        <w:gridCol w:w="1450"/>
        <w:gridCol w:w="1750"/>
        <w:gridCol w:w="1737"/>
        <w:gridCol w:w="1413"/>
      </w:tblGrid>
      <w:tr w14:paraId="2DC15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BEBEBE" w:themeFill="background1" w:themeFillShade="BF"/>
          </w:tcPr>
          <w:p w14:paraId="71890F9F">
            <w:pPr>
              <w:keepNext w:val="0"/>
              <w:keepLines w:val="0"/>
              <w:widowControl/>
              <w:suppressLineNumbers w:val="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cs="Times New Roman"/>
                <w:color w:val="auto"/>
                <w:kern w:val="0"/>
                <w:sz w:val="20"/>
                <w:szCs w:val="20"/>
                <w:vertAlign w:val="baseline"/>
                <w:lang w:val="en-US" w:eastAsia="zh-CN" w:bidi="ar"/>
              </w:rPr>
              <w:t>Method</w:t>
            </w:r>
          </w:p>
        </w:tc>
        <w:tc>
          <w:tcPr>
            <w:tcW w:w="1675" w:type="dxa"/>
            <w:shd w:val="clear" w:color="auto" w:fill="BEBEBE" w:themeFill="background1" w:themeFillShade="BF"/>
            <w:vAlign w:val="top"/>
          </w:tcPr>
          <w:p w14:paraId="5EAEEBF9">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Sector Survived</w:t>
            </w:r>
          </w:p>
        </w:tc>
        <w:tc>
          <w:tcPr>
            <w:tcW w:w="1450" w:type="dxa"/>
            <w:shd w:val="clear" w:color="auto" w:fill="BEBEBE" w:themeFill="background1" w:themeFillShade="BF"/>
            <w:vAlign w:val="top"/>
          </w:tcPr>
          <w:p w14:paraId="0547F1BE">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No.dead nodes</w:t>
            </w:r>
          </w:p>
        </w:tc>
        <w:tc>
          <w:tcPr>
            <w:tcW w:w="1750" w:type="dxa"/>
            <w:shd w:val="clear" w:color="auto" w:fill="BEBEBE" w:themeFill="background1" w:themeFillShade="BF"/>
            <w:vAlign w:val="top"/>
          </w:tcPr>
          <w:p w14:paraId="6A755EBD">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Energy Usage (J)</w:t>
            </w:r>
          </w:p>
        </w:tc>
        <w:tc>
          <w:tcPr>
            <w:tcW w:w="1737" w:type="dxa"/>
            <w:shd w:val="clear" w:color="auto" w:fill="BEBEBE" w:themeFill="background1" w:themeFillShade="BF"/>
            <w:vAlign w:val="top"/>
          </w:tcPr>
          <w:p w14:paraId="690CD8D8">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Throughput (kbps)</w:t>
            </w:r>
          </w:p>
        </w:tc>
        <w:tc>
          <w:tcPr>
            <w:tcW w:w="1413" w:type="dxa"/>
            <w:shd w:val="clear" w:color="auto" w:fill="BEBEBE" w:themeFill="background1" w:themeFillShade="BF"/>
            <w:vAlign w:val="top"/>
          </w:tcPr>
          <w:p w14:paraId="5FA6281F">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Avg PDR (%)</w:t>
            </w:r>
          </w:p>
        </w:tc>
      </w:tr>
      <w:tr w14:paraId="4F860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187209CD">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LEACH</w:t>
            </w:r>
          </w:p>
        </w:tc>
        <w:tc>
          <w:tcPr>
            <w:tcW w:w="1675" w:type="dxa"/>
            <w:vAlign w:val="top"/>
          </w:tcPr>
          <w:p w14:paraId="439B685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w:t>
            </w:r>
          </w:p>
        </w:tc>
        <w:tc>
          <w:tcPr>
            <w:tcW w:w="1450" w:type="dxa"/>
            <w:vAlign w:val="top"/>
          </w:tcPr>
          <w:p w14:paraId="309CD8C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138/150</w:t>
            </w:r>
          </w:p>
        </w:tc>
        <w:tc>
          <w:tcPr>
            <w:tcW w:w="1750" w:type="dxa"/>
            <w:vAlign w:val="top"/>
          </w:tcPr>
          <w:p w14:paraId="681DB68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297/300</w:t>
            </w:r>
          </w:p>
        </w:tc>
        <w:tc>
          <w:tcPr>
            <w:tcW w:w="1737" w:type="dxa"/>
            <w:vAlign w:val="top"/>
          </w:tcPr>
          <w:p w14:paraId="7CA957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w:t>
            </w:r>
          </w:p>
        </w:tc>
        <w:tc>
          <w:tcPr>
            <w:tcW w:w="1413" w:type="dxa"/>
            <w:vAlign w:val="top"/>
          </w:tcPr>
          <w:p w14:paraId="238DFF8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4370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24E7E3">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DEEC</w:t>
            </w:r>
          </w:p>
        </w:tc>
        <w:tc>
          <w:tcPr>
            <w:tcW w:w="1675" w:type="dxa"/>
            <w:vAlign w:val="top"/>
          </w:tcPr>
          <w:p w14:paraId="5DCFE47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3/9</w:t>
            </w:r>
          </w:p>
        </w:tc>
        <w:tc>
          <w:tcPr>
            <w:tcW w:w="1450" w:type="dxa"/>
            <w:vAlign w:val="top"/>
          </w:tcPr>
          <w:p w14:paraId="455C11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142/150</w:t>
            </w:r>
          </w:p>
        </w:tc>
        <w:tc>
          <w:tcPr>
            <w:tcW w:w="1750" w:type="dxa"/>
            <w:vAlign w:val="top"/>
          </w:tcPr>
          <w:p w14:paraId="1ED9BB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295/300</w:t>
            </w:r>
          </w:p>
        </w:tc>
        <w:tc>
          <w:tcPr>
            <w:tcW w:w="1737" w:type="dxa"/>
            <w:vAlign w:val="top"/>
          </w:tcPr>
          <w:p w14:paraId="1BE4BF8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38</w:t>
            </w:r>
          </w:p>
        </w:tc>
        <w:tc>
          <w:tcPr>
            <w:tcW w:w="1413" w:type="dxa"/>
            <w:vAlign w:val="top"/>
          </w:tcPr>
          <w:p w14:paraId="330C2E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99.71</w:t>
            </w:r>
          </w:p>
        </w:tc>
      </w:tr>
      <w:tr w14:paraId="2CBC3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8F9A2A">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PSO</w:t>
            </w:r>
          </w:p>
        </w:tc>
        <w:tc>
          <w:tcPr>
            <w:tcW w:w="1675" w:type="dxa"/>
            <w:vAlign w:val="top"/>
          </w:tcPr>
          <w:p w14:paraId="62ACA9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60A0CD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108/150</w:t>
            </w:r>
          </w:p>
        </w:tc>
        <w:tc>
          <w:tcPr>
            <w:tcW w:w="1750" w:type="dxa"/>
            <w:vAlign w:val="top"/>
          </w:tcPr>
          <w:p w14:paraId="413D44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251/300</w:t>
            </w:r>
          </w:p>
        </w:tc>
        <w:tc>
          <w:tcPr>
            <w:tcW w:w="1737" w:type="dxa"/>
            <w:vAlign w:val="top"/>
          </w:tcPr>
          <w:p w14:paraId="4FBB558B">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81</w:t>
            </w:r>
          </w:p>
        </w:tc>
        <w:tc>
          <w:tcPr>
            <w:tcW w:w="1413" w:type="dxa"/>
            <w:vAlign w:val="top"/>
          </w:tcPr>
          <w:p w14:paraId="66A36EB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57ECE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7A886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ACO</w:t>
            </w:r>
          </w:p>
        </w:tc>
        <w:tc>
          <w:tcPr>
            <w:tcW w:w="1675" w:type="dxa"/>
            <w:vAlign w:val="top"/>
          </w:tcPr>
          <w:p w14:paraId="092B2C1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5951385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94/150</w:t>
            </w:r>
          </w:p>
        </w:tc>
        <w:tc>
          <w:tcPr>
            <w:tcW w:w="1750" w:type="dxa"/>
            <w:vAlign w:val="top"/>
          </w:tcPr>
          <w:p w14:paraId="7C9F4B1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220/300</w:t>
            </w:r>
          </w:p>
        </w:tc>
        <w:tc>
          <w:tcPr>
            <w:tcW w:w="1737" w:type="dxa"/>
            <w:vAlign w:val="top"/>
          </w:tcPr>
          <w:p w14:paraId="7B48737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77</w:t>
            </w:r>
          </w:p>
        </w:tc>
        <w:tc>
          <w:tcPr>
            <w:tcW w:w="1413" w:type="dxa"/>
            <w:vAlign w:val="top"/>
          </w:tcPr>
          <w:p w14:paraId="196D6D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99.86</w:t>
            </w:r>
          </w:p>
        </w:tc>
      </w:tr>
      <w:tr w14:paraId="3226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51EBABB">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FCM</w:t>
            </w:r>
          </w:p>
        </w:tc>
        <w:tc>
          <w:tcPr>
            <w:tcW w:w="1675" w:type="dxa"/>
            <w:vAlign w:val="top"/>
          </w:tcPr>
          <w:p w14:paraId="2BEDA38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7/9</w:t>
            </w:r>
          </w:p>
        </w:tc>
        <w:tc>
          <w:tcPr>
            <w:tcW w:w="1450" w:type="dxa"/>
            <w:vAlign w:val="top"/>
          </w:tcPr>
          <w:p w14:paraId="79DCD1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107/150</w:t>
            </w:r>
          </w:p>
        </w:tc>
        <w:tc>
          <w:tcPr>
            <w:tcW w:w="1750" w:type="dxa"/>
            <w:vAlign w:val="top"/>
          </w:tcPr>
          <w:p w14:paraId="6E52524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240/300</w:t>
            </w:r>
          </w:p>
        </w:tc>
        <w:tc>
          <w:tcPr>
            <w:tcW w:w="1737" w:type="dxa"/>
            <w:vAlign w:val="top"/>
          </w:tcPr>
          <w:p w14:paraId="41BC391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80</w:t>
            </w:r>
          </w:p>
        </w:tc>
        <w:tc>
          <w:tcPr>
            <w:tcW w:w="1413" w:type="dxa"/>
            <w:vAlign w:val="top"/>
          </w:tcPr>
          <w:p w14:paraId="325D2DF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99.52</w:t>
            </w:r>
          </w:p>
        </w:tc>
      </w:tr>
      <w:tr w14:paraId="3563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C8FD65">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(Centralized)</w:t>
            </w:r>
          </w:p>
        </w:tc>
        <w:tc>
          <w:tcPr>
            <w:tcW w:w="1675" w:type="dxa"/>
            <w:vAlign w:val="top"/>
          </w:tcPr>
          <w:p w14:paraId="544C4E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507AA124">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55/150</w:t>
            </w:r>
          </w:p>
        </w:tc>
        <w:tc>
          <w:tcPr>
            <w:tcW w:w="1750" w:type="dxa"/>
            <w:vAlign w:val="top"/>
          </w:tcPr>
          <w:p w14:paraId="47234D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197/300</w:t>
            </w:r>
          </w:p>
        </w:tc>
        <w:tc>
          <w:tcPr>
            <w:tcW w:w="1737" w:type="dxa"/>
            <w:vAlign w:val="top"/>
          </w:tcPr>
          <w:p w14:paraId="40AF5C63">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133</w:t>
            </w:r>
          </w:p>
        </w:tc>
        <w:tc>
          <w:tcPr>
            <w:tcW w:w="1413" w:type="dxa"/>
            <w:vAlign w:val="top"/>
          </w:tcPr>
          <w:p w14:paraId="3CCE9F0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99.92</w:t>
            </w:r>
          </w:p>
        </w:tc>
      </w:tr>
      <w:tr w14:paraId="0101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23B5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(Federated)</w:t>
            </w:r>
          </w:p>
        </w:tc>
        <w:tc>
          <w:tcPr>
            <w:tcW w:w="1675" w:type="dxa"/>
            <w:vAlign w:val="top"/>
          </w:tcPr>
          <w:p w14:paraId="106476A6">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0E407F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62/150</w:t>
            </w:r>
          </w:p>
        </w:tc>
        <w:tc>
          <w:tcPr>
            <w:tcW w:w="1750" w:type="dxa"/>
            <w:vAlign w:val="top"/>
          </w:tcPr>
          <w:p w14:paraId="08F741F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214/300</w:t>
            </w:r>
          </w:p>
        </w:tc>
        <w:tc>
          <w:tcPr>
            <w:tcW w:w="1737" w:type="dxa"/>
            <w:vAlign w:val="top"/>
          </w:tcPr>
          <w:p w14:paraId="0E3ABFD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118</w:t>
            </w:r>
          </w:p>
        </w:tc>
        <w:tc>
          <w:tcPr>
            <w:tcW w:w="1413" w:type="dxa"/>
            <w:vAlign w:val="top"/>
          </w:tcPr>
          <w:p w14:paraId="0A8148F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99.95</w:t>
            </w:r>
          </w:p>
        </w:tc>
      </w:tr>
    </w:tbl>
    <w:p w14:paraId="6194E518">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every important performance metric and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1C13BBDB">
      <w:pPr>
        <w:bidi w:val="0"/>
        <w:jc w:val="both"/>
        <w:rPr>
          <w:rFonts w:hint="default"/>
          <w:lang w:val="en-US"/>
        </w:rPr>
      </w:pPr>
      <w:r>
        <w:rPr>
          <w:rFonts w:hint="default"/>
          <w:b w:val="0"/>
          <w:bCs w:val="0"/>
          <w:lang w:val="en-US"/>
        </w:rPr>
        <w:t xml:space="preserve">In this study, two variants of the RLHC framework Centralized and Federated are proposed to incorporate adaptive intelligence for enhancing energy efficiency and network lifetime in heterogeneous WSNs for Agri-IoT applications. </w:t>
      </w:r>
      <w:r>
        <w:rPr>
          <w:rFonts w:hint="default"/>
          <w:lang w:val="en-US"/>
        </w:rPr>
        <w:t>Simulation results clearly demonstrate that RLHC achieves unmatched performance, being the only method with 9/9 sector survivability at 1000 rounds. It improves network lifetime by +57% over LEACH/DEEC and +45% over PSO/ACO/FCM, while reducing energy consumption by +33% and +16%, respectively. It also delivers significantly higher throughput (+240% vs. LEACH/DEEC, +50% vs. others) with consistently high PDR. Under extended conditions, Federated RLHC proves more robust, sustaining more sectors (3 vs. 1), achieving 8% longer lifetime and 3.5% better energy efficiency as compared to centralized RLHC . Overall, Federated RLHC provides the best balance of stability, efficiency and reliability.</w:t>
      </w:r>
    </w:p>
    <w:p w14:paraId="1E278D84">
      <w:pPr>
        <w:bidi w:val="0"/>
        <w:ind w:firstLine="400" w:firstLineChars="200"/>
        <w:jc w:val="both"/>
        <w:rPr>
          <w:rFonts w:hint="default"/>
          <w:b w:val="0"/>
          <w:bCs w:val="0"/>
          <w:lang w:val="en-US"/>
        </w:rPr>
      </w:pPr>
      <w:r>
        <w:rPr>
          <w:rFonts w:hint="default"/>
          <w:lang w:val="en-US"/>
        </w:rPr>
        <w:t>Future work will focus on incorporating a trust-aware mechanism to identify and filter out malicious or energy draining faulty nodes, thereby enhancing overall system robustness.</w:t>
      </w:r>
    </w:p>
    <w:p w14:paraId="51112065">
      <w:pPr>
        <w:pStyle w:val="9"/>
        <w:numPr>
          <w:ilvl w:val="0"/>
          <w:numId w:val="0"/>
        </w:numPr>
        <w:bidi w:val="0"/>
        <w:ind w:left="288" w:leftChars="0"/>
        <w:jc w:val="center"/>
        <w:rPr>
          <w:rFonts w:hint="default"/>
          <w:b/>
          <w:bCs/>
          <w:lang w:val="en-US"/>
        </w:rPr>
      </w:pP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O. Olayemi, A. Bello, and M. A. Oladejo, “MLSRP: Machine Learning-Based Secure Routing Protocol for Wireless Sensor Networks,” IEEE Internet of Things Journal, vol. 12, no. 5, pp. 4567–4580, 2025..</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R. Veluswamy, “Trust-Aware Secure Energy-Efficient Routing Protocol Using Two-Tier Optimization,” Ad Hoc Networks, vol. 156, pp. 103–118, 2026.H.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3A5F760C">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Ahmed, M. A. Khan, and F. Ullah, “A Comprehensive Survey of Routing Protocols for Underwater Wireless Sensor Networks,” IEEE Communications Surveys &amp; Tutorials, vol. 28, no. 1, pp. 1–25, 2026.</w:t>
      </w:r>
    </w:p>
    <w:p w14:paraId="1061E089">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Hartono, D. Setiawan, and A. Nugroho, “Metaheuristic Approaches for Energy Optimization in WSN: A Systematic Review,” IEEE Access, vol. 14, pp. 22015–22040, 2026</w:t>
      </w:r>
    </w:p>
    <w:p w14:paraId="6315DCE8">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P. Gawade, S. Patil, and M. Kulkarni, “I-HEED: Intelligent Hybrid Energy-Efficient Distributed Clustering for WSN,” Sensors, vol. 26, no. 2, pp. 1–20, 2026.</w:t>
      </w:r>
    </w:p>
    <w:p w14:paraId="107BC3B5">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X. Li, Y. Zhang, and H. Zhao, “Energy Optimized Scheduling in WSN Using RL-HAPSO,” Nature Scientific Reports, vol. 16, pp. 1–12, 2026.</w:t>
      </w:r>
    </w:p>
    <w:p w14:paraId="461227FF">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Sowbarnika, “Trust-Aware Secure Energy-Efficient Routing Protocol for Clustered WSNs,” Wireless Networks, vol. 32, no. 4, pp. 345–360, 2026.</w:t>
      </w:r>
    </w:p>
    <w:p w14:paraId="2D834A01">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J. Kim and S. Lee, “Enhanced Secretary Bird Optimization for Energy-Efficient Cluster Head Selection in WSN,” Applied Intelligence, vol. 56, pp. 789–805, 2026.</w:t>
      </w:r>
    </w:p>
    <w:p w14:paraId="53DDC444">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xml:space="preserve">H. Zhang, Q. Liu, and Y. Chen, “Intelligent Energy-Aware Routing via Protozoa Behavior in Wireless Sensor Networks,” Future Generation Computer Systems, vol. 150, pp. 210–225, 2026. </w:t>
      </w:r>
    </w:p>
    <w:p w14:paraId="6210A08F">
      <w:pPr>
        <w:pStyle w:val="38"/>
        <w:numPr>
          <w:ilvl w:val="0"/>
          <w:numId w:val="0"/>
        </w:numPr>
        <w:tabs>
          <w:tab w:val="left" w:pos="967"/>
          <w:tab w:val="left" w:pos="969"/>
        </w:tabs>
        <w:spacing w:before="50" w:after="0" w:line="235" w:lineRule="auto"/>
        <w:ind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145BF6C3">
      <w:pPr>
        <w:pStyle w:val="9"/>
        <w:numPr>
          <w:ilvl w:val="0"/>
          <w:numId w:val="0"/>
        </w:numPr>
        <w:bidi w:val="0"/>
        <w:rPr>
          <w:rFonts w:hint="default"/>
          <w:b/>
          <w:bCs/>
          <w:lang w:val="en-US"/>
        </w:rPr>
      </w:pP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4D24"/>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A3612"/>
    <w:rsid w:val="014A2DD9"/>
    <w:rsid w:val="01507D34"/>
    <w:rsid w:val="0152585C"/>
    <w:rsid w:val="015441BC"/>
    <w:rsid w:val="015B3B47"/>
    <w:rsid w:val="015C0A67"/>
    <w:rsid w:val="015F500E"/>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42607"/>
    <w:rsid w:val="01A761C5"/>
    <w:rsid w:val="01B029F8"/>
    <w:rsid w:val="01B36BD0"/>
    <w:rsid w:val="01B709DD"/>
    <w:rsid w:val="01BC28E7"/>
    <w:rsid w:val="01C43576"/>
    <w:rsid w:val="01C62C13"/>
    <w:rsid w:val="01CD0000"/>
    <w:rsid w:val="01CD0FFD"/>
    <w:rsid w:val="01CF6084"/>
    <w:rsid w:val="01D47F8D"/>
    <w:rsid w:val="01DC0C1D"/>
    <w:rsid w:val="01DE089D"/>
    <w:rsid w:val="01DF5C17"/>
    <w:rsid w:val="01DF79C5"/>
    <w:rsid w:val="01E41926"/>
    <w:rsid w:val="01E924B1"/>
    <w:rsid w:val="01F2065D"/>
    <w:rsid w:val="01F2753D"/>
    <w:rsid w:val="01FA65AD"/>
    <w:rsid w:val="02023977"/>
    <w:rsid w:val="0216427A"/>
    <w:rsid w:val="02165151"/>
    <w:rsid w:val="0216715F"/>
    <w:rsid w:val="02183480"/>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574C3"/>
    <w:rsid w:val="02934EC9"/>
    <w:rsid w:val="029E5458"/>
    <w:rsid w:val="02A041DE"/>
    <w:rsid w:val="02A9706C"/>
    <w:rsid w:val="02AE55E9"/>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633D2"/>
    <w:rsid w:val="032C3DC2"/>
    <w:rsid w:val="032F27C8"/>
    <w:rsid w:val="033755DF"/>
    <w:rsid w:val="0341020B"/>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F104D"/>
    <w:rsid w:val="03D13E62"/>
    <w:rsid w:val="03D454D5"/>
    <w:rsid w:val="03D9195C"/>
    <w:rsid w:val="03E54AF2"/>
    <w:rsid w:val="03E70995"/>
    <w:rsid w:val="03E9547A"/>
    <w:rsid w:val="03EA08A3"/>
    <w:rsid w:val="03F54EE2"/>
    <w:rsid w:val="03F70F0C"/>
    <w:rsid w:val="03FD05D6"/>
    <w:rsid w:val="03FD59E7"/>
    <w:rsid w:val="040A59AF"/>
    <w:rsid w:val="040D1192"/>
    <w:rsid w:val="041078B8"/>
    <w:rsid w:val="041462BE"/>
    <w:rsid w:val="04153D40"/>
    <w:rsid w:val="04221DEB"/>
    <w:rsid w:val="042929E0"/>
    <w:rsid w:val="0431202E"/>
    <w:rsid w:val="0431586E"/>
    <w:rsid w:val="04380A7C"/>
    <w:rsid w:val="043E7102"/>
    <w:rsid w:val="04406715"/>
    <w:rsid w:val="04425B09"/>
    <w:rsid w:val="044A0997"/>
    <w:rsid w:val="04506123"/>
    <w:rsid w:val="04533824"/>
    <w:rsid w:val="04581CB1"/>
    <w:rsid w:val="045A1585"/>
    <w:rsid w:val="045C1378"/>
    <w:rsid w:val="045C1F36"/>
    <w:rsid w:val="045E63D0"/>
    <w:rsid w:val="04602913"/>
    <w:rsid w:val="046041E5"/>
    <w:rsid w:val="04650DFC"/>
    <w:rsid w:val="046C2A72"/>
    <w:rsid w:val="046D7466"/>
    <w:rsid w:val="04845678"/>
    <w:rsid w:val="048E5DF4"/>
    <w:rsid w:val="049031F8"/>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A4A8F"/>
    <w:rsid w:val="057B5469"/>
    <w:rsid w:val="05825942"/>
    <w:rsid w:val="058D22A7"/>
    <w:rsid w:val="058D7738"/>
    <w:rsid w:val="05962A91"/>
    <w:rsid w:val="059924E1"/>
    <w:rsid w:val="05997E8B"/>
    <w:rsid w:val="059B4E40"/>
    <w:rsid w:val="059C2FB1"/>
    <w:rsid w:val="05AA02EA"/>
    <w:rsid w:val="05B24A66"/>
    <w:rsid w:val="05B24CCF"/>
    <w:rsid w:val="05BB42A5"/>
    <w:rsid w:val="05C20583"/>
    <w:rsid w:val="05C40203"/>
    <w:rsid w:val="05C940A2"/>
    <w:rsid w:val="05CC0260"/>
    <w:rsid w:val="05D13AC9"/>
    <w:rsid w:val="05D76C05"/>
    <w:rsid w:val="05D9297D"/>
    <w:rsid w:val="05D94925"/>
    <w:rsid w:val="05DD1488"/>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38F1"/>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35222"/>
    <w:rsid w:val="06983A5E"/>
    <w:rsid w:val="069914E0"/>
    <w:rsid w:val="06994D63"/>
    <w:rsid w:val="06B3208A"/>
    <w:rsid w:val="06B65283"/>
    <w:rsid w:val="06BC4F18"/>
    <w:rsid w:val="06C518F0"/>
    <w:rsid w:val="06CA5532"/>
    <w:rsid w:val="06D61345"/>
    <w:rsid w:val="06D76DC6"/>
    <w:rsid w:val="06DD024B"/>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457F"/>
    <w:rsid w:val="095B7DEA"/>
    <w:rsid w:val="096133B5"/>
    <w:rsid w:val="0969368E"/>
    <w:rsid w:val="096D1466"/>
    <w:rsid w:val="096D58B6"/>
    <w:rsid w:val="0971670A"/>
    <w:rsid w:val="09736C45"/>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124F9F"/>
    <w:rsid w:val="0A1B13A1"/>
    <w:rsid w:val="0A1E07A5"/>
    <w:rsid w:val="0A2D0142"/>
    <w:rsid w:val="0A2E2341"/>
    <w:rsid w:val="0A316B49"/>
    <w:rsid w:val="0A33367C"/>
    <w:rsid w:val="0A3E25DB"/>
    <w:rsid w:val="0A420FE1"/>
    <w:rsid w:val="0A4F1460"/>
    <w:rsid w:val="0A4F2875"/>
    <w:rsid w:val="0A514815"/>
    <w:rsid w:val="0A52707D"/>
    <w:rsid w:val="0A5A1A5C"/>
    <w:rsid w:val="0A5D1DCF"/>
    <w:rsid w:val="0A5E0911"/>
    <w:rsid w:val="0A617D3D"/>
    <w:rsid w:val="0A67379F"/>
    <w:rsid w:val="0A6B21A6"/>
    <w:rsid w:val="0A794110"/>
    <w:rsid w:val="0A854E82"/>
    <w:rsid w:val="0A8C4462"/>
    <w:rsid w:val="0A8F5D00"/>
    <w:rsid w:val="0A943317"/>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AFD44E7"/>
    <w:rsid w:val="0B0645A2"/>
    <w:rsid w:val="0B102933"/>
    <w:rsid w:val="0B112BB9"/>
    <w:rsid w:val="0B114967"/>
    <w:rsid w:val="0B17367B"/>
    <w:rsid w:val="0B1D7A4B"/>
    <w:rsid w:val="0B1F76CB"/>
    <w:rsid w:val="0B203454"/>
    <w:rsid w:val="0B267056"/>
    <w:rsid w:val="0B3166EB"/>
    <w:rsid w:val="0B3568A8"/>
    <w:rsid w:val="0B393773"/>
    <w:rsid w:val="0B403483"/>
    <w:rsid w:val="0B494101"/>
    <w:rsid w:val="0B5E04B4"/>
    <w:rsid w:val="0B5F7F25"/>
    <w:rsid w:val="0B680A2B"/>
    <w:rsid w:val="0B6D524B"/>
    <w:rsid w:val="0B713C52"/>
    <w:rsid w:val="0B796AE0"/>
    <w:rsid w:val="0B7B1FE3"/>
    <w:rsid w:val="0B7D54E6"/>
    <w:rsid w:val="0B802EFE"/>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AE6912"/>
    <w:rsid w:val="0CB73F69"/>
    <w:rsid w:val="0CBF0B1F"/>
    <w:rsid w:val="0CC0217F"/>
    <w:rsid w:val="0CCD3F0E"/>
    <w:rsid w:val="0CD36378"/>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244E26"/>
    <w:rsid w:val="0D3216B4"/>
    <w:rsid w:val="0D344BB7"/>
    <w:rsid w:val="0D442DD2"/>
    <w:rsid w:val="0D4870DB"/>
    <w:rsid w:val="0D4C5AE1"/>
    <w:rsid w:val="0D5B4A77"/>
    <w:rsid w:val="0D5C24F8"/>
    <w:rsid w:val="0D5E59FB"/>
    <w:rsid w:val="0D627C85"/>
    <w:rsid w:val="0D683E73"/>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E6032D"/>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C20487"/>
    <w:rsid w:val="0ECC7523"/>
    <w:rsid w:val="0ED70ED7"/>
    <w:rsid w:val="0EDC32B1"/>
    <w:rsid w:val="0EE83C31"/>
    <w:rsid w:val="0EED198A"/>
    <w:rsid w:val="0EF12AE6"/>
    <w:rsid w:val="0EF16F8A"/>
    <w:rsid w:val="0EF6229A"/>
    <w:rsid w:val="0EF75B1D"/>
    <w:rsid w:val="0EF91020"/>
    <w:rsid w:val="0EFA4540"/>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DE2597"/>
    <w:rsid w:val="0FE1351C"/>
    <w:rsid w:val="0FE2319C"/>
    <w:rsid w:val="0FE34B24"/>
    <w:rsid w:val="0FE443F8"/>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8747A"/>
    <w:rsid w:val="10890389"/>
    <w:rsid w:val="108F7F7A"/>
    <w:rsid w:val="10945E1E"/>
    <w:rsid w:val="109542C4"/>
    <w:rsid w:val="10AA73F0"/>
    <w:rsid w:val="10AE73EC"/>
    <w:rsid w:val="10AF39D7"/>
    <w:rsid w:val="10B0706C"/>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65524"/>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D2729"/>
    <w:rsid w:val="125A4EAA"/>
    <w:rsid w:val="126141BA"/>
    <w:rsid w:val="12617F82"/>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DD5F4A"/>
    <w:rsid w:val="12F40DF6"/>
    <w:rsid w:val="12F450A8"/>
    <w:rsid w:val="12F7602D"/>
    <w:rsid w:val="12F83AAE"/>
    <w:rsid w:val="12F9465F"/>
    <w:rsid w:val="12FB3F33"/>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34EB0"/>
    <w:rsid w:val="13D92D9C"/>
    <w:rsid w:val="13D93B40"/>
    <w:rsid w:val="13DC26B0"/>
    <w:rsid w:val="13E833B7"/>
    <w:rsid w:val="13EF7DF0"/>
    <w:rsid w:val="13F029C1"/>
    <w:rsid w:val="13FC0B7A"/>
    <w:rsid w:val="140D7D73"/>
    <w:rsid w:val="14111FFD"/>
    <w:rsid w:val="141C6857"/>
    <w:rsid w:val="141E2A73"/>
    <w:rsid w:val="14202763"/>
    <w:rsid w:val="143A47CF"/>
    <w:rsid w:val="143D057B"/>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4EEE"/>
    <w:rsid w:val="14EE6822"/>
    <w:rsid w:val="14F1166B"/>
    <w:rsid w:val="14F270EC"/>
    <w:rsid w:val="14F86492"/>
    <w:rsid w:val="15003E83"/>
    <w:rsid w:val="15023959"/>
    <w:rsid w:val="15075A0D"/>
    <w:rsid w:val="150D2643"/>
    <w:rsid w:val="150D3199"/>
    <w:rsid w:val="152065D0"/>
    <w:rsid w:val="15231AB9"/>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22D8C"/>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D7FC2"/>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B65F5A"/>
    <w:rsid w:val="16C7342A"/>
    <w:rsid w:val="16C8569A"/>
    <w:rsid w:val="16C861C7"/>
    <w:rsid w:val="16DF3094"/>
    <w:rsid w:val="16E3365C"/>
    <w:rsid w:val="16E7773C"/>
    <w:rsid w:val="16E85F22"/>
    <w:rsid w:val="16EA4CA9"/>
    <w:rsid w:val="16F06BB2"/>
    <w:rsid w:val="16F91A40"/>
    <w:rsid w:val="16F93553"/>
    <w:rsid w:val="170809D5"/>
    <w:rsid w:val="17095673"/>
    <w:rsid w:val="17124B68"/>
    <w:rsid w:val="17191F74"/>
    <w:rsid w:val="171E2B79"/>
    <w:rsid w:val="17231CAA"/>
    <w:rsid w:val="17237001"/>
    <w:rsid w:val="17283764"/>
    <w:rsid w:val="17301B9A"/>
    <w:rsid w:val="17371525"/>
    <w:rsid w:val="17397720"/>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D4FEE"/>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3E3E78"/>
    <w:rsid w:val="19445D81"/>
    <w:rsid w:val="19476D06"/>
    <w:rsid w:val="19505417"/>
    <w:rsid w:val="195278D9"/>
    <w:rsid w:val="195907FD"/>
    <w:rsid w:val="195E692B"/>
    <w:rsid w:val="19625331"/>
    <w:rsid w:val="196A1E12"/>
    <w:rsid w:val="196A273E"/>
    <w:rsid w:val="197131A1"/>
    <w:rsid w:val="1977452F"/>
    <w:rsid w:val="19782D58"/>
    <w:rsid w:val="197902A7"/>
    <w:rsid w:val="19892FF3"/>
    <w:rsid w:val="198B018A"/>
    <w:rsid w:val="198B64F6"/>
    <w:rsid w:val="198F297E"/>
    <w:rsid w:val="198F4717"/>
    <w:rsid w:val="199050E3"/>
    <w:rsid w:val="199E0159"/>
    <w:rsid w:val="19A3205B"/>
    <w:rsid w:val="19BE7C49"/>
    <w:rsid w:val="19C239FC"/>
    <w:rsid w:val="19C80559"/>
    <w:rsid w:val="19C83DDC"/>
    <w:rsid w:val="19C9185E"/>
    <w:rsid w:val="19DD04FE"/>
    <w:rsid w:val="19E47E89"/>
    <w:rsid w:val="19E5590B"/>
    <w:rsid w:val="19EB7814"/>
    <w:rsid w:val="19EC5296"/>
    <w:rsid w:val="19F55BA5"/>
    <w:rsid w:val="19FA01DC"/>
    <w:rsid w:val="1A002DB1"/>
    <w:rsid w:val="1A045DC3"/>
    <w:rsid w:val="1A09162B"/>
    <w:rsid w:val="1A092647"/>
    <w:rsid w:val="1A1041D0"/>
    <w:rsid w:val="1A1409D8"/>
    <w:rsid w:val="1A19705E"/>
    <w:rsid w:val="1A1B2562"/>
    <w:rsid w:val="1A225770"/>
    <w:rsid w:val="1A240C73"/>
    <w:rsid w:val="1A2453EF"/>
    <w:rsid w:val="1A2F306F"/>
    <w:rsid w:val="1A317F88"/>
    <w:rsid w:val="1A360B8D"/>
    <w:rsid w:val="1A422421"/>
    <w:rsid w:val="1A4A30B1"/>
    <w:rsid w:val="1A543565"/>
    <w:rsid w:val="1A5C0DCD"/>
    <w:rsid w:val="1A607E32"/>
    <w:rsid w:val="1A612171"/>
    <w:rsid w:val="1A612CD6"/>
    <w:rsid w:val="1A65428B"/>
    <w:rsid w:val="1A682661"/>
    <w:rsid w:val="1A734CF7"/>
    <w:rsid w:val="1A84670E"/>
    <w:rsid w:val="1A8A3DEE"/>
    <w:rsid w:val="1A934532"/>
    <w:rsid w:val="1A952EBF"/>
    <w:rsid w:val="1A9609E5"/>
    <w:rsid w:val="1A9C2BFE"/>
    <w:rsid w:val="1A9C3DB4"/>
    <w:rsid w:val="1A9E72B8"/>
    <w:rsid w:val="1AB4145B"/>
    <w:rsid w:val="1AB836E5"/>
    <w:rsid w:val="1AB9474C"/>
    <w:rsid w:val="1ABC20EB"/>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250273"/>
    <w:rsid w:val="1C332BD1"/>
    <w:rsid w:val="1C3A035E"/>
    <w:rsid w:val="1C3C5A5F"/>
    <w:rsid w:val="1C4C3A51"/>
    <w:rsid w:val="1C527C03"/>
    <w:rsid w:val="1C550B58"/>
    <w:rsid w:val="1C56667E"/>
    <w:rsid w:val="1C5D17BA"/>
    <w:rsid w:val="1C5D3A88"/>
    <w:rsid w:val="1C630E66"/>
    <w:rsid w:val="1C630FDB"/>
    <w:rsid w:val="1C646FED"/>
    <w:rsid w:val="1C6F2DB6"/>
    <w:rsid w:val="1C754957"/>
    <w:rsid w:val="1C7836C6"/>
    <w:rsid w:val="1C791147"/>
    <w:rsid w:val="1C7B60E4"/>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96AC8"/>
    <w:rsid w:val="1D7E18EE"/>
    <w:rsid w:val="1D804359"/>
    <w:rsid w:val="1D893503"/>
    <w:rsid w:val="1D9B6A3E"/>
    <w:rsid w:val="1D9F5DE8"/>
    <w:rsid w:val="1DA04055"/>
    <w:rsid w:val="1DA5166B"/>
    <w:rsid w:val="1DAB4D3C"/>
    <w:rsid w:val="1DAD0520"/>
    <w:rsid w:val="1DB573D4"/>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17A38"/>
    <w:rsid w:val="1EB63404"/>
    <w:rsid w:val="1EBC25FB"/>
    <w:rsid w:val="1EBC6A7A"/>
    <w:rsid w:val="1EBD007C"/>
    <w:rsid w:val="1EC16A83"/>
    <w:rsid w:val="1EC370BA"/>
    <w:rsid w:val="1EC41FC5"/>
    <w:rsid w:val="1EC53201"/>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74BE7"/>
    <w:rsid w:val="1F5844BB"/>
    <w:rsid w:val="1F59095F"/>
    <w:rsid w:val="1F617814"/>
    <w:rsid w:val="1F6E02F3"/>
    <w:rsid w:val="1F707178"/>
    <w:rsid w:val="1F7809FB"/>
    <w:rsid w:val="1F7929AE"/>
    <w:rsid w:val="1F7A70A9"/>
    <w:rsid w:val="1F7E48B7"/>
    <w:rsid w:val="1F9C6A9E"/>
    <w:rsid w:val="1FA26C35"/>
    <w:rsid w:val="1FA53BA4"/>
    <w:rsid w:val="1FA6126F"/>
    <w:rsid w:val="1FA63478"/>
    <w:rsid w:val="1FAB2CC2"/>
    <w:rsid w:val="1FB00909"/>
    <w:rsid w:val="1FBE07C2"/>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4020"/>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71F9A"/>
    <w:rsid w:val="20EB0691"/>
    <w:rsid w:val="20ED5D93"/>
    <w:rsid w:val="20F070A1"/>
    <w:rsid w:val="20F56A22"/>
    <w:rsid w:val="20FA7627"/>
    <w:rsid w:val="21076199"/>
    <w:rsid w:val="211823AD"/>
    <w:rsid w:val="21207866"/>
    <w:rsid w:val="212307EB"/>
    <w:rsid w:val="213A6642"/>
    <w:rsid w:val="213F699C"/>
    <w:rsid w:val="21464F13"/>
    <w:rsid w:val="21465528"/>
    <w:rsid w:val="214C0426"/>
    <w:rsid w:val="214C62A1"/>
    <w:rsid w:val="21537630"/>
    <w:rsid w:val="21561F3F"/>
    <w:rsid w:val="21592EC3"/>
    <w:rsid w:val="21667363"/>
    <w:rsid w:val="216B0BDF"/>
    <w:rsid w:val="216F5067"/>
    <w:rsid w:val="21723DED"/>
    <w:rsid w:val="21727EC2"/>
    <w:rsid w:val="2175317B"/>
    <w:rsid w:val="217B46FD"/>
    <w:rsid w:val="217D645B"/>
    <w:rsid w:val="2181419D"/>
    <w:rsid w:val="21815F4B"/>
    <w:rsid w:val="21962D28"/>
    <w:rsid w:val="21A37E40"/>
    <w:rsid w:val="21A70A44"/>
    <w:rsid w:val="21AB121A"/>
    <w:rsid w:val="21B22658"/>
    <w:rsid w:val="21BB54E6"/>
    <w:rsid w:val="21BD09EA"/>
    <w:rsid w:val="21BE719F"/>
    <w:rsid w:val="21C83B7A"/>
    <w:rsid w:val="21D02A2F"/>
    <w:rsid w:val="21D1768A"/>
    <w:rsid w:val="21D73792"/>
    <w:rsid w:val="21D83065"/>
    <w:rsid w:val="21E07116"/>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146ED"/>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46BD8"/>
    <w:rsid w:val="22F506E6"/>
    <w:rsid w:val="22F7746D"/>
    <w:rsid w:val="230001E7"/>
    <w:rsid w:val="23007D7C"/>
    <w:rsid w:val="23181B9F"/>
    <w:rsid w:val="23197621"/>
    <w:rsid w:val="23201794"/>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44C86"/>
    <w:rsid w:val="24FA33BA"/>
    <w:rsid w:val="25007ACF"/>
    <w:rsid w:val="25010FCF"/>
    <w:rsid w:val="25060A5D"/>
    <w:rsid w:val="25300011"/>
    <w:rsid w:val="25315A92"/>
    <w:rsid w:val="253B0B07"/>
    <w:rsid w:val="253D662D"/>
    <w:rsid w:val="254276EE"/>
    <w:rsid w:val="25461985"/>
    <w:rsid w:val="254856B7"/>
    <w:rsid w:val="254F08C6"/>
    <w:rsid w:val="25657932"/>
    <w:rsid w:val="25661A5B"/>
    <w:rsid w:val="25670AE2"/>
    <w:rsid w:val="256A3ACE"/>
    <w:rsid w:val="25710085"/>
    <w:rsid w:val="257D0110"/>
    <w:rsid w:val="259742A2"/>
    <w:rsid w:val="259A582D"/>
    <w:rsid w:val="25A030F4"/>
    <w:rsid w:val="25A36572"/>
    <w:rsid w:val="25A92259"/>
    <w:rsid w:val="25AD2E5D"/>
    <w:rsid w:val="25B20DC9"/>
    <w:rsid w:val="25B272E5"/>
    <w:rsid w:val="25B6156F"/>
    <w:rsid w:val="25BF30ED"/>
    <w:rsid w:val="25C35001"/>
    <w:rsid w:val="25C7728B"/>
    <w:rsid w:val="25C96F0A"/>
    <w:rsid w:val="25CF5D1F"/>
    <w:rsid w:val="25D407A7"/>
    <w:rsid w:val="25EB0744"/>
    <w:rsid w:val="25EB6089"/>
    <w:rsid w:val="25FC4987"/>
    <w:rsid w:val="260116D8"/>
    <w:rsid w:val="260747F1"/>
    <w:rsid w:val="26136085"/>
    <w:rsid w:val="26190E48"/>
    <w:rsid w:val="261F571B"/>
    <w:rsid w:val="262241EA"/>
    <w:rsid w:val="26270419"/>
    <w:rsid w:val="263537A8"/>
    <w:rsid w:val="26480ADD"/>
    <w:rsid w:val="26491A9E"/>
    <w:rsid w:val="265F2F9D"/>
    <w:rsid w:val="26691012"/>
    <w:rsid w:val="2673332F"/>
    <w:rsid w:val="26881571"/>
    <w:rsid w:val="268A1547"/>
    <w:rsid w:val="268F2EB8"/>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74C5C"/>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7FE6547"/>
    <w:rsid w:val="27FF7BCA"/>
    <w:rsid w:val="28013942"/>
    <w:rsid w:val="28071805"/>
    <w:rsid w:val="280A6540"/>
    <w:rsid w:val="281D195D"/>
    <w:rsid w:val="2826006E"/>
    <w:rsid w:val="28275AF0"/>
    <w:rsid w:val="2829733C"/>
    <w:rsid w:val="283931F7"/>
    <w:rsid w:val="28400C18"/>
    <w:rsid w:val="28463A4A"/>
    <w:rsid w:val="28480BD5"/>
    <w:rsid w:val="28481571"/>
    <w:rsid w:val="285048C9"/>
    <w:rsid w:val="285E01C8"/>
    <w:rsid w:val="286418B0"/>
    <w:rsid w:val="28673056"/>
    <w:rsid w:val="286A7085"/>
    <w:rsid w:val="286F2FA1"/>
    <w:rsid w:val="28724C6B"/>
    <w:rsid w:val="287607EB"/>
    <w:rsid w:val="28855E8A"/>
    <w:rsid w:val="28887BBF"/>
    <w:rsid w:val="288D5494"/>
    <w:rsid w:val="28913E9A"/>
    <w:rsid w:val="28956780"/>
    <w:rsid w:val="289C222B"/>
    <w:rsid w:val="28A42EBB"/>
    <w:rsid w:val="28AB4A44"/>
    <w:rsid w:val="28B00ECC"/>
    <w:rsid w:val="28B16A6A"/>
    <w:rsid w:val="28B43155"/>
    <w:rsid w:val="28C1246B"/>
    <w:rsid w:val="28CD627E"/>
    <w:rsid w:val="28D07202"/>
    <w:rsid w:val="28D33A0A"/>
    <w:rsid w:val="28D87E92"/>
    <w:rsid w:val="28E3039C"/>
    <w:rsid w:val="28EA7DAC"/>
    <w:rsid w:val="28F306BC"/>
    <w:rsid w:val="28F43F3F"/>
    <w:rsid w:val="28F45255"/>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660E5"/>
    <w:rsid w:val="294855A0"/>
    <w:rsid w:val="29534671"/>
    <w:rsid w:val="29543F45"/>
    <w:rsid w:val="29564161"/>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31555"/>
    <w:rsid w:val="29E7224E"/>
    <w:rsid w:val="29EC0F55"/>
    <w:rsid w:val="29FB7F12"/>
    <w:rsid w:val="2A006FF2"/>
    <w:rsid w:val="2A04596B"/>
    <w:rsid w:val="2A22332C"/>
    <w:rsid w:val="2A297180"/>
    <w:rsid w:val="2A365850"/>
    <w:rsid w:val="2A473AAA"/>
    <w:rsid w:val="2A5218FD"/>
    <w:rsid w:val="2A5B478B"/>
    <w:rsid w:val="2A5E32CD"/>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C82E3D"/>
    <w:rsid w:val="2ACF07B5"/>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A3852"/>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24BCB"/>
    <w:rsid w:val="2C695F59"/>
    <w:rsid w:val="2C6B1F6C"/>
    <w:rsid w:val="2C7333ED"/>
    <w:rsid w:val="2C866B0B"/>
    <w:rsid w:val="2C8A4A20"/>
    <w:rsid w:val="2C8B02A3"/>
    <w:rsid w:val="2C8C5D24"/>
    <w:rsid w:val="2C8D0AE0"/>
    <w:rsid w:val="2C8F0EA7"/>
    <w:rsid w:val="2C9640B5"/>
    <w:rsid w:val="2C9C00DD"/>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363AE"/>
    <w:rsid w:val="2D077487"/>
    <w:rsid w:val="2D0B0DBF"/>
    <w:rsid w:val="2D11017C"/>
    <w:rsid w:val="2D190E0B"/>
    <w:rsid w:val="2D1C121E"/>
    <w:rsid w:val="2D241E80"/>
    <w:rsid w:val="2D260121"/>
    <w:rsid w:val="2D32459D"/>
    <w:rsid w:val="2D3447B9"/>
    <w:rsid w:val="2D3D3350"/>
    <w:rsid w:val="2D470656"/>
    <w:rsid w:val="2D5B7F98"/>
    <w:rsid w:val="2D6A1F89"/>
    <w:rsid w:val="2D7042EC"/>
    <w:rsid w:val="2D763723"/>
    <w:rsid w:val="2D7828F8"/>
    <w:rsid w:val="2D7921CC"/>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C95120"/>
    <w:rsid w:val="2DCC4132"/>
    <w:rsid w:val="2DCE7635"/>
    <w:rsid w:val="2DCF6290"/>
    <w:rsid w:val="2DD227B8"/>
    <w:rsid w:val="2DE0049D"/>
    <w:rsid w:val="2DE40064"/>
    <w:rsid w:val="2DE64CDC"/>
    <w:rsid w:val="2DF02AE0"/>
    <w:rsid w:val="2DF95EFB"/>
    <w:rsid w:val="2DFA397D"/>
    <w:rsid w:val="2E053A60"/>
    <w:rsid w:val="2E091B11"/>
    <w:rsid w:val="2E102D33"/>
    <w:rsid w:val="2E184226"/>
    <w:rsid w:val="2E1E4B22"/>
    <w:rsid w:val="2E3624DD"/>
    <w:rsid w:val="2E403A11"/>
    <w:rsid w:val="2E4B3B69"/>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D5528"/>
    <w:rsid w:val="2F590ABA"/>
    <w:rsid w:val="2F64514D"/>
    <w:rsid w:val="2F6A2714"/>
    <w:rsid w:val="2F762E69"/>
    <w:rsid w:val="2F7B4AF4"/>
    <w:rsid w:val="2F854862"/>
    <w:rsid w:val="2F945C9C"/>
    <w:rsid w:val="2F95371E"/>
    <w:rsid w:val="2FA31782"/>
    <w:rsid w:val="2FA74A53"/>
    <w:rsid w:val="2FBB2F70"/>
    <w:rsid w:val="2FBF4562"/>
    <w:rsid w:val="2FC7196E"/>
    <w:rsid w:val="2FD7548C"/>
    <w:rsid w:val="2FD93A57"/>
    <w:rsid w:val="2FD9510C"/>
    <w:rsid w:val="2FDB716E"/>
    <w:rsid w:val="2FDE1594"/>
    <w:rsid w:val="30045A3B"/>
    <w:rsid w:val="300727D8"/>
    <w:rsid w:val="30085C5B"/>
    <w:rsid w:val="30103067"/>
    <w:rsid w:val="301068EB"/>
    <w:rsid w:val="30110AE9"/>
    <w:rsid w:val="30141A6E"/>
    <w:rsid w:val="30191779"/>
    <w:rsid w:val="301C6E7A"/>
    <w:rsid w:val="301D7787"/>
    <w:rsid w:val="30276F7E"/>
    <w:rsid w:val="302E5E9B"/>
    <w:rsid w:val="30363A87"/>
    <w:rsid w:val="303D4E30"/>
    <w:rsid w:val="303E26C8"/>
    <w:rsid w:val="30436BA8"/>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A1876"/>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27D00"/>
    <w:rsid w:val="319C1B8D"/>
    <w:rsid w:val="319D5111"/>
    <w:rsid w:val="31A63EF0"/>
    <w:rsid w:val="31A77C86"/>
    <w:rsid w:val="31AB42A0"/>
    <w:rsid w:val="31AC630C"/>
    <w:rsid w:val="31AE7611"/>
    <w:rsid w:val="31AF7290"/>
    <w:rsid w:val="31B00595"/>
    <w:rsid w:val="31B77767"/>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6630DC"/>
    <w:rsid w:val="32672F3B"/>
    <w:rsid w:val="32705150"/>
    <w:rsid w:val="32774ADB"/>
    <w:rsid w:val="327C0F63"/>
    <w:rsid w:val="327D0BE3"/>
    <w:rsid w:val="327D69E4"/>
    <w:rsid w:val="32851872"/>
    <w:rsid w:val="328C4750"/>
    <w:rsid w:val="32977363"/>
    <w:rsid w:val="32985010"/>
    <w:rsid w:val="329A50BF"/>
    <w:rsid w:val="32AC54CC"/>
    <w:rsid w:val="32BA0A47"/>
    <w:rsid w:val="32BC3287"/>
    <w:rsid w:val="32BE0DA6"/>
    <w:rsid w:val="32D60378"/>
    <w:rsid w:val="32D87995"/>
    <w:rsid w:val="32DB47FF"/>
    <w:rsid w:val="32DD1D7A"/>
    <w:rsid w:val="32DD447F"/>
    <w:rsid w:val="32E26388"/>
    <w:rsid w:val="32E4188C"/>
    <w:rsid w:val="32E64D8F"/>
    <w:rsid w:val="32E95D13"/>
    <w:rsid w:val="32EB591A"/>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4327C"/>
    <w:rsid w:val="334B4AB3"/>
    <w:rsid w:val="3356210E"/>
    <w:rsid w:val="33575837"/>
    <w:rsid w:val="335C27CF"/>
    <w:rsid w:val="335D0251"/>
    <w:rsid w:val="33604A58"/>
    <w:rsid w:val="33664FA1"/>
    <w:rsid w:val="33851415"/>
    <w:rsid w:val="3385661C"/>
    <w:rsid w:val="33897E1B"/>
    <w:rsid w:val="338D4C23"/>
    <w:rsid w:val="338F44F8"/>
    <w:rsid w:val="3392652C"/>
    <w:rsid w:val="33934ADE"/>
    <w:rsid w:val="339A2E9C"/>
    <w:rsid w:val="339C6E3C"/>
    <w:rsid w:val="33A361F5"/>
    <w:rsid w:val="33AB1655"/>
    <w:rsid w:val="33AD0E22"/>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277BC"/>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AA5967"/>
    <w:rsid w:val="34B93D65"/>
    <w:rsid w:val="34C409E9"/>
    <w:rsid w:val="34C44320"/>
    <w:rsid w:val="34CE1050"/>
    <w:rsid w:val="34CE3BED"/>
    <w:rsid w:val="34E34BD5"/>
    <w:rsid w:val="34E40873"/>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262A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E42DAC"/>
    <w:rsid w:val="36F22B3E"/>
    <w:rsid w:val="36FB00F6"/>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98C"/>
    <w:rsid w:val="37C44C8D"/>
    <w:rsid w:val="37C91115"/>
    <w:rsid w:val="37CC2099"/>
    <w:rsid w:val="37CE75B8"/>
    <w:rsid w:val="37D16521"/>
    <w:rsid w:val="37E01F7D"/>
    <w:rsid w:val="37E67A68"/>
    <w:rsid w:val="37F479DA"/>
    <w:rsid w:val="37F50CDF"/>
    <w:rsid w:val="37FA1725"/>
    <w:rsid w:val="380562C5"/>
    <w:rsid w:val="380B4369"/>
    <w:rsid w:val="380B5401"/>
    <w:rsid w:val="380B6117"/>
    <w:rsid w:val="3814248D"/>
    <w:rsid w:val="381630CC"/>
    <w:rsid w:val="381A2FA8"/>
    <w:rsid w:val="381E38D4"/>
    <w:rsid w:val="38241E1F"/>
    <w:rsid w:val="383B234D"/>
    <w:rsid w:val="38494CA3"/>
    <w:rsid w:val="3849704B"/>
    <w:rsid w:val="384A4E91"/>
    <w:rsid w:val="38571C7D"/>
    <w:rsid w:val="385D5117"/>
    <w:rsid w:val="386121DB"/>
    <w:rsid w:val="38677D19"/>
    <w:rsid w:val="38714C3C"/>
    <w:rsid w:val="38735D2A"/>
    <w:rsid w:val="387B69BA"/>
    <w:rsid w:val="387D01A0"/>
    <w:rsid w:val="38806B05"/>
    <w:rsid w:val="388749CB"/>
    <w:rsid w:val="388A3DAE"/>
    <w:rsid w:val="388C6C54"/>
    <w:rsid w:val="388F1DD7"/>
    <w:rsid w:val="38961E84"/>
    <w:rsid w:val="389926E7"/>
    <w:rsid w:val="38A20DF8"/>
    <w:rsid w:val="38A65E3F"/>
    <w:rsid w:val="38AC78FA"/>
    <w:rsid w:val="38BB3F20"/>
    <w:rsid w:val="38C71038"/>
    <w:rsid w:val="38D138B9"/>
    <w:rsid w:val="38D91DC5"/>
    <w:rsid w:val="38DD7958"/>
    <w:rsid w:val="38DE53D9"/>
    <w:rsid w:val="38F023FD"/>
    <w:rsid w:val="38F24217"/>
    <w:rsid w:val="38F31AFC"/>
    <w:rsid w:val="38F54CED"/>
    <w:rsid w:val="38F54FFF"/>
    <w:rsid w:val="38F848ED"/>
    <w:rsid w:val="38FC4989"/>
    <w:rsid w:val="3900201C"/>
    <w:rsid w:val="39017437"/>
    <w:rsid w:val="390A2872"/>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45757"/>
    <w:rsid w:val="3A1A6AE5"/>
    <w:rsid w:val="3A1C2863"/>
    <w:rsid w:val="3A1D02E4"/>
    <w:rsid w:val="3A2A4F7A"/>
    <w:rsid w:val="3A366C90"/>
    <w:rsid w:val="3A3C0B99"/>
    <w:rsid w:val="3A3E3FBC"/>
    <w:rsid w:val="3A4D68B5"/>
    <w:rsid w:val="3A595F4B"/>
    <w:rsid w:val="3A5B3385"/>
    <w:rsid w:val="3A5B5BCB"/>
    <w:rsid w:val="3A5E49AA"/>
    <w:rsid w:val="3A617AD4"/>
    <w:rsid w:val="3A6464DA"/>
    <w:rsid w:val="3A655BDD"/>
    <w:rsid w:val="3A706705"/>
    <w:rsid w:val="3A8328DC"/>
    <w:rsid w:val="3A900623"/>
    <w:rsid w:val="3A980B52"/>
    <w:rsid w:val="3A9934B1"/>
    <w:rsid w:val="3A9B7C26"/>
    <w:rsid w:val="3AA60379"/>
    <w:rsid w:val="3AA70248"/>
    <w:rsid w:val="3ABA1467"/>
    <w:rsid w:val="3AC06BF4"/>
    <w:rsid w:val="3ACC2A06"/>
    <w:rsid w:val="3AD263D8"/>
    <w:rsid w:val="3ADA779E"/>
    <w:rsid w:val="3AEC01F5"/>
    <w:rsid w:val="3AFF66D9"/>
    <w:rsid w:val="3B097D0D"/>
    <w:rsid w:val="3B0F6973"/>
    <w:rsid w:val="3B157061"/>
    <w:rsid w:val="3B190B4B"/>
    <w:rsid w:val="3B240E97"/>
    <w:rsid w:val="3B2C3D25"/>
    <w:rsid w:val="3B3325C7"/>
    <w:rsid w:val="3B366832"/>
    <w:rsid w:val="3B36794F"/>
    <w:rsid w:val="3B393D34"/>
    <w:rsid w:val="3B3C073C"/>
    <w:rsid w:val="3B3D0CDD"/>
    <w:rsid w:val="3B456E4D"/>
    <w:rsid w:val="3B4D4259"/>
    <w:rsid w:val="3B514E5E"/>
    <w:rsid w:val="3B544EC3"/>
    <w:rsid w:val="3B575049"/>
    <w:rsid w:val="3B5969AD"/>
    <w:rsid w:val="3B5A363D"/>
    <w:rsid w:val="3B5D312D"/>
    <w:rsid w:val="3B601BF5"/>
    <w:rsid w:val="3B617677"/>
    <w:rsid w:val="3B6363FD"/>
    <w:rsid w:val="3B637FD8"/>
    <w:rsid w:val="3B6A5FA3"/>
    <w:rsid w:val="3B765F9D"/>
    <w:rsid w:val="3B8B3833"/>
    <w:rsid w:val="3B9839C9"/>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15D"/>
    <w:rsid w:val="3C5E791A"/>
    <w:rsid w:val="3C612A9D"/>
    <w:rsid w:val="3C641403"/>
    <w:rsid w:val="3C73403C"/>
    <w:rsid w:val="3C743CBC"/>
    <w:rsid w:val="3C750826"/>
    <w:rsid w:val="3C764FC0"/>
    <w:rsid w:val="3C7A386B"/>
    <w:rsid w:val="3C7B6ECA"/>
    <w:rsid w:val="3C7C10C8"/>
    <w:rsid w:val="3C7E29F0"/>
    <w:rsid w:val="3C872CDC"/>
    <w:rsid w:val="3C907D69"/>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50703"/>
    <w:rsid w:val="3DC67DE5"/>
    <w:rsid w:val="3DCD7770"/>
    <w:rsid w:val="3DCF7A3D"/>
    <w:rsid w:val="3DD16176"/>
    <w:rsid w:val="3DD60F75"/>
    <w:rsid w:val="3DDD2538"/>
    <w:rsid w:val="3DDE328E"/>
    <w:rsid w:val="3DE0464F"/>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450B8"/>
    <w:rsid w:val="3E95498C"/>
    <w:rsid w:val="3E9571B9"/>
    <w:rsid w:val="3EA846BF"/>
    <w:rsid w:val="3EAA16DD"/>
    <w:rsid w:val="3EB63280"/>
    <w:rsid w:val="3EB92D70"/>
    <w:rsid w:val="3EBC63BD"/>
    <w:rsid w:val="3EBF5DFF"/>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D40F6"/>
    <w:rsid w:val="3F6F5FCF"/>
    <w:rsid w:val="3F716E59"/>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95632"/>
    <w:rsid w:val="400B001F"/>
    <w:rsid w:val="400C5AA1"/>
    <w:rsid w:val="401044A7"/>
    <w:rsid w:val="40161C34"/>
    <w:rsid w:val="401818B4"/>
    <w:rsid w:val="401B136F"/>
    <w:rsid w:val="401D4C7D"/>
    <w:rsid w:val="402130C0"/>
    <w:rsid w:val="402569CB"/>
    <w:rsid w:val="40297A82"/>
    <w:rsid w:val="402D5FD6"/>
    <w:rsid w:val="402E048B"/>
    <w:rsid w:val="403533E2"/>
    <w:rsid w:val="404C688B"/>
    <w:rsid w:val="40520794"/>
    <w:rsid w:val="40580367"/>
    <w:rsid w:val="405D2A86"/>
    <w:rsid w:val="406A5E3B"/>
    <w:rsid w:val="406B38BC"/>
    <w:rsid w:val="40751C4D"/>
    <w:rsid w:val="4081789B"/>
    <w:rsid w:val="408E3D89"/>
    <w:rsid w:val="40993106"/>
    <w:rsid w:val="409A0B88"/>
    <w:rsid w:val="40A21818"/>
    <w:rsid w:val="40B23315"/>
    <w:rsid w:val="40CC265C"/>
    <w:rsid w:val="40CF35E1"/>
    <w:rsid w:val="40D479EE"/>
    <w:rsid w:val="40DA6FCE"/>
    <w:rsid w:val="40EC510F"/>
    <w:rsid w:val="40EF72AD"/>
    <w:rsid w:val="40F97CA8"/>
    <w:rsid w:val="40FB7928"/>
    <w:rsid w:val="40FE4130"/>
    <w:rsid w:val="41055DF9"/>
    <w:rsid w:val="410A78B3"/>
    <w:rsid w:val="410B59C4"/>
    <w:rsid w:val="410D126B"/>
    <w:rsid w:val="41322966"/>
    <w:rsid w:val="41382CD2"/>
    <w:rsid w:val="4138778D"/>
    <w:rsid w:val="413B0711"/>
    <w:rsid w:val="41456AA2"/>
    <w:rsid w:val="414954A9"/>
    <w:rsid w:val="41612B4F"/>
    <w:rsid w:val="41670862"/>
    <w:rsid w:val="416F5968"/>
    <w:rsid w:val="4170316A"/>
    <w:rsid w:val="417E204F"/>
    <w:rsid w:val="41864339"/>
    <w:rsid w:val="418E3CD4"/>
    <w:rsid w:val="41923435"/>
    <w:rsid w:val="419B1A30"/>
    <w:rsid w:val="41A73EBC"/>
    <w:rsid w:val="41AA67C7"/>
    <w:rsid w:val="41B4781F"/>
    <w:rsid w:val="41B94863"/>
    <w:rsid w:val="41CA43BA"/>
    <w:rsid w:val="41CE6B33"/>
    <w:rsid w:val="41D41C6F"/>
    <w:rsid w:val="41E50BAA"/>
    <w:rsid w:val="41E6662C"/>
    <w:rsid w:val="41ED183A"/>
    <w:rsid w:val="41EE2D31"/>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8373B"/>
    <w:rsid w:val="42FA74B4"/>
    <w:rsid w:val="4302007D"/>
    <w:rsid w:val="430640AA"/>
    <w:rsid w:val="430E60F0"/>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985FF2"/>
    <w:rsid w:val="43A00E80"/>
    <w:rsid w:val="43A42298"/>
    <w:rsid w:val="43A606BF"/>
    <w:rsid w:val="43AE4585"/>
    <w:rsid w:val="43AF64F0"/>
    <w:rsid w:val="43BA782C"/>
    <w:rsid w:val="43C26E36"/>
    <w:rsid w:val="43C732BE"/>
    <w:rsid w:val="43C875B2"/>
    <w:rsid w:val="43D877F5"/>
    <w:rsid w:val="43E00799"/>
    <w:rsid w:val="43E3619A"/>
    <w:rsid w:val="43E443EC"/>
    <w:rsid w:val="43F5418D"/>
    <w:rsid w:val="43F56AA3"/>
    <w:rsid w:val="43F860E9"/>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31571"/>
    <w:rsid w:val="44544EBB"/>
    <w:rsid w:val="44625310"/>
    <w:rsid w:val="44647CC4"/>
    <w:rsid w:val="446E05D4"/>
    <w:rsid w:val="44705C7F"/>
    <w:rsid w:val="447943E7"/>
    <w:rsid w:val="44853C59"/>
    <w:rsid w:val="448B0D0B"/>
    <w:rsid w:val="4492750F"/>
    <w:rsid w:val="44956FF9"/>
    <w:rsid w:val="44996E9A"/>
    <w:rsid w:val="449A6109"/>
    <w:rsid w:val="44A122DD"/>
    <w:rsid w:val="44A40B8C"/>
    <w:rsid w:val="44A4522B"/>
    <w:rsid w:val="44A678F3"/>
    <w:rsid w:val="44A91191"/>
    <w:rsid w:val="44A973E3"/>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93EC7"/>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F261D2"/>
    <w:rsid w:val="45FF1C64"/>
    <w:rsid w:val="46084AF2"/>
    <w:rsid w:val="461C3792"/>
    <w:rsid w:val="46222FA9"/>
    <w:rsid w:val="462E7BA0"/>
    <w:rsid w:val="46315CB6"/>
    <w:rsid w:val="463333B8"/>
    <w:rsid w:val="463827CD"/>
    <w:rsid w:val="463D4287"/>
    <w:rsid w:val="46492C2C"/>
    <w:rsid w:val="464A4AAB"/>
    <w:rsid w:val="464B42E2"/>
    <w:rsid w:val="464E3D9E"/>
    <w:rsid w:val="4650656B"/>
    <w:rsid w:val="46521A6E"/>
    <w:rsid w:val="46523C6D"/>
    <w:rsid w:val="465A1079"/>
    <w:rsid w:val="465B56CC"/>
    <w:rsid w:val="4666290D"/>
    <w:rsid w:val="466A7115"/>
    <w:rsid w:val="466C06C8"/>
    <w:rsid w:val="466C2618"/>
    <w:rsid w:val="466C4816"/>
    <w:rsid w:val="46772BA7"/>
    <w:rsid w:val="467960AA"/>
    <w:rsid w:val="467C684E"/>
    <w:rsid w:val="467F0720"/>
    <w:rsid w:val="467F3837"/>
    <w:rsid w:val="46853538"/>
    <w:rsid w:val="468846E9"/>
    <w:rsid w:val="4691012F"/>
    <w:rsid w:val="46916381"/>
    <w:rsid w:val="46980B5E"/>
    <w:rsid w:val="46A143CE"/>
    <w:rsid w:val="46A24CF0"/>
    <w:rsid w:val="46AA26AF"/>
    <w:rsid w:val="46AF3052"/>
    <w:rsid w:val="46B11A88"/>
    <w:rsid w:val="46B226AF"/>
    <w:rsid w:val="46C671A0"/>
    <w:rsid w:val="46CE1038"/>
    <w:rsid w:val="46D17DBE"/>
    <w:rsid w:val="46D40D43"/>
    <w:rsid w:val="46D85D5E"/>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1660D"/>
    <w:rsid w:val="47947AFC"/>
    <w:rsid w:val="47990424"/>
    <w:rsid w:val="479A1A05"/>
    <w:rsid w:val="479F390E"/>
    <w:rsid w:val="47A4404E"/>
    <w:rsid w:val="47AB19BB"/>
    <w:rsid w:val="47B13703"/>
    <w:rsid w:val="47BB2A5D"/>
    <w:rsid w:val="47BB79BB"/>
    <w:rsid w:val="47C016D8"/>
    <w:rsid w:val="47C06F1E"/>
    <w:rsid w:val="47CF33D4"/>
    <w:rsid w:val="47CF7161"/>
    <w:rsid w:val="47D604EF"/>
    <w:rsid w:val="47D74267"/>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2C47F7"/>
    <w:rsid w:val="482E20D9"/>
    <w:rsid w:val="482F5E51"/>
    <w:rsid w:val="48343468"/>
    <w:rsid w:val="48357685"/>
    <w:rsid w:val="4838060A"/>
    <w:rsid w:val="483A3B0D"/>
    <w:rsid w:val="483B47F6"/>
    <w:rsid w:val="4842699B"/>
    <w:rsid w:val="484731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1028C"/>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A76173"/>
    <w:rsid w:val="4AB27A19"/>
    <w:rsid w:val="4AB54221"/>
    <w:rsid w:val="4AB663B6"/>
    <w:rsid w:val="4AB8212E"/>
    <w:rsid w:val="4AB94E26"/>
    <w:rsid w:val="4AC44601"/>
    <w:rsid w:val="4ACE1952"/>
    <w:rsid w:val="4ACF6FC9"/>
    <w:rsid w:val="4AD27F4E"/>
    <w:rsid w:val="4AD64D94"/>
    <w:rsid w:val="4ADD62DF"/>
    <w:rsid w:val="4AF30D23"/>
    <w:rsid w:val="4B013AD5"/>
    <w:rsid w:val="4B0337B8"/>
    <w:rsid w:val="4B064F25"/>
    <w:rsid w:val="4B0E61F2"/>
    <w:rsid w:val="4B151AA7"/>
    <w:rsid w:val="4B162FC1"/>
    <w:rsid w:val="4B1906C2"/>
    <w:rsid w:val="4B2444D5"/>
    <w:rsid w:val="4B27210C"/>
    <w:rsid w:val="4B282EDB"/>
    <w:rsid w:val="4B2A1C61"/>
    <w:rsid w:val="4B2B202F"/>
    <w:rsid w:val="4B3002E7"/>
    <w:rsid w:val="4B367C72"/>
    <w:rsid w:val="4B383175"/>
    <w:rsid w:val="4B3B3748"/>
    <w:rsid w:val="4B3E2E80"/>
    <w:rsid w:val="4B4214E3"/>
    <w:rsid w:val="4B46248B"/>
    <w:rsid w:val="4B4F2D9B"/>
    <w:rsid w:val="4B541924"/>
    <w:rsid w:val="4B577B99"/>
    <w:rsid w:val="4B645E12"/>
    <w:rsid w:val="4B6E0A3F"/>
    <w:rsid w:val="4B7A5635"/>
    <w:rsid w:val="4B823769"/>
    <w:rsid w:val="4B891C7B"/>
    <w:rsid w:val="4B8D5369"/>
    <w:rsid w:val="4B8F1535"/>
    <w:rsid w:val="4B924B09"/>
    <w:rsid w:val="4BAA5A33"/>
    <w:rsid w:val="4BC27856"/>
    <w:rsid w:val="4BC62629"/>
    <w:rsid w:val="4BCC39E9"/>
    <w:rsid w:val="4BCD146B"/>
    <w:rsid w:val="4BCE0CE1"/>
    <w:rsid w:val="4BDE3E16"/>
    <w:rsid w:val="4BE674CD"/>
    <w:rsid w:val="4BE86A43"/>
    <w:rsid w:val="4BF6482D"/>
    <w:rsid w:val="4BF87D30"/>
    <w:rsid w:val="4BFA0524"/>
    <w:rsid w:val="4BFA6AB7"/>
    <w:rsid w:val="4BFC7680"/>
    <w:rsid w:val="4C193AAC"/>
    <w:rsid w:val="4C2832E3"/>
    <w:rsid w:val="4C2E4987"/>
    <w:rsid w:val="4C324162"/>
    <w:rsid w:val="4C3E2A23"/>
    <w:rsid w:val="4C405215"/>
    <w:rsid w:val="4C4243A5"/>
    <w:rsid w:val="4C46376A"/>
    <w:rsid w:val="4C4658B1"/>
    <w:rsid w:val="4C520360"/>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26ED1"/>
    <w:rsid w:val="4C9F12A5"/>
    <w:rsid w:val="4CAA3CF8"/>
    <w:rsid w:val="4CAD2A13"/>
    <w:rsid w:val="4CB94B39"/>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07DBC"/>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45EFB"/>
    <w:rsid w:val="4D463256"/>
    <w:rsid w:val="4D465454"/>
    <w:rsid w:val="4D475E1C"/>
    <w:rsid w:val="4D477799"/>
    <w:rsid w:val="4D4E0042"/>
    <w:rsid w:val="4D505D63"/>
    <w:rsid w:val="4D521266"/>
    <w:rsid w:val="4D583754"/>
    <w:rsid w:val="4D624D8F"/>
    <w:rsid w:val="4D6640C3"/>
    <w:rsid w:val="4D6F6618"/>
    <w:rsid w:val="4D815253"/>
    <w:rsid w:val="4D9A17E3"/>
    <w:rsid w:val="4D9B295F"/>
    <w:rsid w:val="4D9D5E63"/>
    <w:rsid w:val="4DA0266A"/>
    <w:rsid w:val="4DA06DE7"/>
    <w:rsid w:val="4DA64574"/>
    <w:rsid w:val="4DAC647D"/>
    <w:rsid w:val="4DAD3AA0"/>
    <w:rsid w:val="4DB35F12"/>
    <w:rsid w:val="4DBA3214"/>
    <w:rsid w:val="4DC45D22"/>
    <w:rsid w:val="4DC61225"/>
    <w:rsid w:val="4DCD7C9F"/>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43B94"/>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F17EF4"/>
    <w:rsid w:val="4FF705C0"/>
    <w:rsid w:val="4FF96169"/>
    <w:rsid w:val="50035120"/>
    <w:rsid w:val="50051019"/>
    <w:rsid w:val="5005686C"/>
    <w:rsid w:val="500D2AC8"/>
    <w:rsid w:val="50170AF5"/>
    <w:rsid w:val="50183D19"/>
    <w:rsid w:val="50205B81"/>
    <w:rsid w:val="50206871"/>
    <w:rsid w:val="50243DC2"/>
    <w:rsid w:val="50306A1A"/>
    <w:rsid w:val="50355FCF"/>
    <w:rsid w:val="503F29AA"/>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9E3B74"/>
    <w:rsid w:val="50A12B25"/>
    <w:rsid w:val="50AC1F47"/>
    <w:rsid w:val="50AE22ED"/>
    <w:rsid w:val="50AF1034"/>
    <w:rsid w:val="50B6517B"/>
    <w:rsid w:val="50B9287D"/>
    <w:rsid w:val="50BB0282"/>
    <w:rsid w:val="50C36A0F"/>
    <w:rsid w:val="50CB601A"/>
    <w:rsid w:val="50CE2A9D"/>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451EF"/>
    <w:rsid w:val="51467C0D"/>
    <w:rsid w:val="514711E7"/>
    <w:rsid w:val="5147420C"/>
    <w:rsid w:val="51513CF5"/>
    <w:rsid w:val="51563A00"/>
    <w:rsid w:val="515A2406"/>
    <w:rsid w:val="515B4CE3"/>
    <w:rsid w:val="515E0E0C"/>
    <w:rsid w:val="515E50B1"/>
    <w:rsid w:val="5160430F"/>
    <w:rsid w:val="516D233C"/>
    <w:rsid w:val="518335CA"/>
    <w:rsid w:val="51847337"/>
    <w:rsid w:val="51864D34"/>
    <w:rsid w:val="51881C50"/>
    <w:rsid w:val="518B6458"/>
    <w:rsid w:val="51925DE3"/>
    <w:rsid w:val="519266FC"/>
    <w:rsid w:val="519A53EE"/>
    <w:rsid w:val="519D6372"/>
    <w:rsid w:val="51A00E60"/>
    <w:rsid w:val="51A1369B"/>
    <w:rsid w:val="51A76459"/>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934A3"/>
    <w:rsid w:val="521045FE"/>
    <w:rsid w:val="52141834"/>
    <w:rsid w:val="522917DA"/>
    <w:rsid w:val="52291B63"/>
    <w:rsid w:val="522D3402"/>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51654"/>
    <w:rsid w:val="545A7F3D"/>
    <w:rsid w:val="546126FE"/>
    <w:rsid w:val="54717BEB"/>
    <w:rsid w:val="54741D03"/>
    <w:rsid w:val="54761099"/>
    <w:rsid w:val="54843BB7"/>
    <w:rsid w:val="549450AA"/>
    <w:rsid w:val="54996B2C"/>
    <w:rsid w:val="549C486F"/>
    <w:rsid w:val="549E472D"/>
    <w:rsid w:val="54A6749B"/>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6357A4"/>
    <w:rsid w:val="556D17D2"/>
    <w:rsid w:val="55711857"/>
    <w:rsid w:val="557944A6"/>
    <w:rsid w:val="557A4E0D"/>
    <w:rsid w:val="5584375A"/>
    <w:rsid w:val="55886BA1"/>
    <w:rsid w:val="5593102F"/>
    <w:rsid w:val="559B1181"/>
    <w:rsid w:val="559D6882"/>
    <w:rsid w:val="559E63C4"/>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346BC"/>
    <w:rsid w:val="56172B5C"/>
    <w:rsid w:val="56191A4F"/>
    <w:rsid w:val="561D553B"/>
    <w:rsid w:val="5621105A"/>
    <w:rsid w:val="56312D95"/>
    <w:rsid w:val="5632548A"/>
    <w:rsid w:val="563B15DE"/>
    <w:rsid w:val="563C64B6"/>
    <w:rsid w:val="563D098A"/>
    <w:rsid w:val="5647555E"/>
    <w:rsid w:val="56501BA9"/>
    <w:rsid w:val="56522EAE"/>
    <w:rsid w:val="56561C37"/>
    <w:rsid w:val="56614A31"/>
    <w:rsid w:val="56623E31"/>
    <w:rsid w:val="56635347"/>
    <w:rsid w:val="56642523"/>
    <w:rsid w:val="56655E0A"/>
    <w:rsid w:val="56685052"/>
    <w:rsid w:val="567974EA"/>
    <w:rsid w:val="569B249B"/>
    <w:rsid w:val="56A17F1A"/>
    <w:rsid w:val="56AA5EAE"/>
    <w:rsid w:val="56B00CC9"/>
    <w:rsid w:val="56B64DD1"/>
    <w:rsid w:val="56BA37D7"/>
    <w:rsid w:val="56BC4ADC"/>
    <w:rsid w:val="56BE5A60"/>
    <w:rsid w:val="56BE7FDF"/>
    <w:rsid w:val="56C31EE8"/>
    <w:rsid w:val="56C63E25"/>
    <w:rsid w:val="56CE6835"/>
    <w:rsid w:val="56D95906"/>
    <w:rsid w:val="56E10C5F"/>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5C72EC"/>
    <w:rsid w:val="576508E6"/>
    <w:rsid w:val="576553EC"/>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90A96"/>
    <w:rsid w:val="58090EFA"/>
    <w:rsid w:val="580A5802"/>
    <w:rsid w:val="58171515"/>
    <w:rsid w:val="5818420C"/>
    <w:rsid w:val="581B1F4E"/>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686E"/>
    <w:rsid w:val="58C82D2D"/>
    <w:rsid w:val="58CA6DBA"/>
    <w:rsid w:val="58D760D0"/>
    <w:rsid w:val="58D83B51"/>
    <w:rsid w:val="58D853F1"/>
    <w:rsid w:val="58E16CF4"/>
    <w:rsid w:val="58E67648"/>
    <w:rsid w:val="58EC27F2"/>
    <w:rsid w:val="58F5454D"/>
    <w:rsid w:val="58F85DEC"/>
    <w:rsid w:val="58FA1B64"/>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771406"/>
    <w:rsid w:val="59864BB0"/>
    <w:rsid w:val="59883613"/>
    <w:rsid w:val="59A22798"/>
    <w:rsid w:val="59A41FA0"/>
    <w:rsid w:val="59A44A9E"/>
    <w:rsid w:val="59A57A22"/>
    <w:rsid w:val="59AA0627"/>
    <w:rsid w:val="59B212B6"/>
    <w:rsid w:val="59B469B8"/>
    <w:rsid w:val="59B60492"/>
    <w:rsid w:val="59BB12F3"/>
    <w:rsid w:val="59BB6342"/>
    <w:rsid w:val="59BE2B4A"/>
    <w:rsid w:val="59BE36AB"/>
    <w:rsid w:val="59BF1674"/>
    <w:rsid w:val="59C30027"/>
    <w:rsid w:val="59C36FD2"/>
    <w:rsid w:val="59DD7B7C"/>
    <w:rsid w:val="59E51E95"/>
    <w:rsid w:val="59FE5B32"/>
    <w:rsid w:val="5A016AB7"/>
    <w:rsid w:val="5A0C1B4F"/>
    <w:rsid w:val="5A1225D4"/>
    <w:rsid w:val="5A1976E0"/>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67910"/>
    <w:rsid w:val="5A7744F7"/>
    <w:rsid w:val="5A7F5187"/>
    <w:rsid w:val="5A84380D"/>
    <w:rsid w:val="5A885A96"/>
    <w:rsid w:val="5A98607D"/>
    <w:rsid w:val="5A9866CB"/>
    <w:rsid w:val="5A9B1124"/>
    <w:rsid w:val="5AA0313D"/>
    <w:rsid w:val="5AA72A4E"/>
    <w:rsid w:val="5AB752E1"/>
    <w:rsid w:val="5AB96265"/>
    <w:rsid w:val="5ABD2A6D"/>
    <w:rsid w:val="5ABE04EF"/>
    <w:rsid w:val="5ABF12B7"/>
    <w:rsid w:val="5AC05DA1"/>
    <w:rsid w:val="5AC16EF5"/>
    <w:rsid w:val="5AC210F3"/>
    <w:rsid w:val="5AC95C92"/>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92A5C"/>
    <w:rsid w:val="5C396A71"/>
    <w:rsid w:val="5C3C41E3"/>
    <w:rsid w:val="5C3F445D"/>
    <w:rsid w:val="5C466CF1"/>
    <w:rsid w:val="5C58107B"/>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C26E3C"/>
    <w:rsid w:val="5CD22158"/>
    <w:rsid w:val="5CD37BDA"/>
    <w:rsid w:val="5CD526CC"/>
    <w:rsid w:val="5CD84061"/>
    <w:rsid w:val="5CDD26E7"/>
    <w:rsid w:val="5CEB6E05"/>
    <w:rsid w:val="5CED3EB9"/>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4E2C09"/>
    <w:rsid w:val="5F5046EA"/>
    <w:rsid w:val="5F530EF2"/>
    <w:rsid w:val="5F533FB1"/>
    <w:rsid w:val="5F5C03BD"/>
    <w:rsid w:val="5F6441ED"/>
    <w:rsid w:val="5F665AD1"/>
    <w:rsid w:val="5F670FA7"/>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3E4A2C"/>
    <w:rsid w:val="6043627C"/>
    <w:rsid w:val="60441290"/>
    <w:rsid w:val="605E42CD"/>
    <w:rsid w:val="6061582C"/>
    <w:rsid w:val="6065645C"/>
    <w:rsid w:val="60672FB9"/>
    <w:rsid w:val="60692C39"/>
    <w:rsid w:val="60837066"/>
    <w:rsid w:val="60885401"/>
    <w:rsid w:val="60934D78"/>
    <w:rsid w:val="609B3C2C"/>
    <w:rsid w:val="60A31B19"/>
    <w:rsid w:val="60A41A75"/>
    <w:rsid w:val="60A972A5"/>
    <w:rsid w:val="60AA20C1"/>
    <w:rsid w:val="60B97540"/>
    <w:rsid w:val="60BD3BA3"/>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4538A0"/>
    <w:rsid w:val="61493688"/>
    <w:rsid w:val="614F54B5"/>
    <w:rsid w:val="615109B8"/>
    <w:rsid w:val="61580343"/>
    <w:rsid w:val="617A7CE6"/>
    <w:rsid w:val="617F26D1"/>
    <w:rsid w:val="61857F0D"/>
    <w:rsid w:val="618E081D"/>
    <w:rsid w:val="61952A3A"/>
    <w:rsid w:val="61990DAC"/>
    <w:rsid w:val="61A06CED"/>
    <w:rsid w:val="61A85B43"/>
    <w:rsid w:val="61C06A6D"/>
    <w:rsid w:val="61C431A0"/>
    <w:rsid w:val="61C86CA3"/>
    <w:rsid w:val="61C947C9"/>
    <w:rsid w:val="61D1258B"/>
    <w:rsid w:val="61EA56B3"/>
    <w:rsid w:val="61F26A1E"/>
    <w:rsid w:val="61FD68D2"/>
    <w:rsid w:val="61FF49F7"/>
    <w:rsid w:val="62066E78"/>
    <w:rsid w:val="620A5BE8"/>
    <w:rsid w:val="620B7DE6"/>
    <w:rsid w:val="62127771"/>
    <w:rsid w:val="621351F3"/>
    <w:rsid w:val="62151563"/>
    <w:rsid w:val="621A54FB"/>
    <w:rsid w:val="621B2F88"/>
    <w:rsid w:val="621C0D9D"/>
    <w:rsid w:val="62246792"/>
    <w:rsid w:val="622A192B"/>
    <w:rsid w:val="62301587"/>
    <w:rsid w:val="62361E5F"/>
    <w:rsid w:val="62371F2F"/>
    <w:rsid w:val="62397BA1"/>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00091"/>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B5969"/>
    <w:rsid w:val="644D291F"/>
    <w:rsid w:val="644E4B1D"/>
    <w:rsid w:val="644F0FB6"/>
    <w:rsid w:val="6450307A"/>
    <w:rsid w:val="64526DA7"/>
    <w:rsid w:val="64561F2A"/>
    <w:rsid w:val="64580CB0"/>
    <w:rsid w:val="645F2839"/>
    <w:rsid w:val="646969CC"/>
    <w:rsid w:val="64733A58"/>
    <w:rsid w:val="64754F8C"/>
    <w:rsid w:val="647A6C66"/>
    <w:rsid w:val="6489147F"/>
    <w:rsid w:val="64960795"/>
    <w:rsid w:val="649751C7"/>
    <w:rsid w:val="64BB76D0"/>
    <w:rsid w:val="64BF0C84"/>
    <w:rsid w:val="64C01EB3"/>
    <w:rsid w:val="64C25C2B"/>
    <w:rsid w:val="64C54CC9"/>
    <w:rsid w:val="64C94083"/>
    <w:rsid w:val="64CA1EE8"/>
    <w:rsid w:val="64D429FF"/>
    <w:rsid w:val="64D77000"/>
    <w:rsid w:val="64DC28FD"/>
    <w:rsid w:val="64DC3487"/>
    <w:rsid w:val="64E04304"/>
    <w:rsid w:val="64EE6C25"/>
    <w:rsid w:val="64F63B27"/>
    <w:rsid w:val="64F7034C"/>
    <w:rsid w:val="64FB04B9"/>
    <w:rsid w:val="64FE478A"/>
    <w:rsid w:val="64FF5B7F"/>
    <w:rsid w:val="65040DC9"/>
    <w:rsid w:val="651200DE"/>
    <w:rsid w:val="65146E65"/>
    <w:rsid w:val="65167D2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5198E"/>
    <w:rsid w:val="65DC2D1D"/>
    <w:rsid w:val="65E25925"/>
    <w:rsid w:val="65EA5BC3"/>
    <w:rsid w:val="65EE0B0E"/>
    <w:rsid w:val="65F33C33"/>
    <w:rsid w:val="65FB38DF"/>
    <w:rsid w:val="65FE0EE5"/>
    <w:rsid w:val="66087371"/>
    <w:rsid w:val="6609788A"/>
    <w:rsid w:val="661029C7"/>
    <w:rsid w:val="662B5A52"/>
    <w:rsid w:val="663520CB"/>
    <w:rsid w:val="6635713E"/>
    <w:rsid w:val="6637243F"/>
    <w:rsid w:val="6637584F"/>
    <w:rsid w:val="663A3F57"/>
    <w:rsid w:val="66432D9C"/>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BEE"/>
    <w:rsid w:val="66F81DD8"/>
    <w:rsid w:val="67072B18"/>
    <w:rsid w:val="67084D16"/>
    <w:rsid w:val="67145898"/>
    <w:rsid w:val="671526A9"/>
    <w:rsid w:val="6716225F"/>
    <w:rsid w:val="67265DC6"/>
    <w:rsid w:val="672C3830"/>
    <w:rsid w:val="672D0E56"/>
    <w:rsid w:val="672D4F56"/>
    <w:rsid w:val="67354103"/>
    <w:rsid w:val="67483581"/>
    <w:rsid w:val="674A6A84"/>
    <w:rsid w:val="67673E36"/>
    <w:rsid w:val="676818B7"/>
    <w:rsid w:val="67710EC2"/>
    <w:rsid w:val="6771789E"/>
    <w:rsid w:val="677243C5"/>
    <w:rsid w:val="67753429"/>
    <w:rsid w:val="67780C00"/>
    <w:rsid w:val="677D22DE"/>
    <w:rsid w:val="67837EE3"/>
    <w:rsid w:val="679A7B08"/>
    <w:rsid w:val="679B67C2"/>
    <w:rsid w:val="679C7788"/>
    <w:rsid w:val="67A55390"/>
    <w:rsid w:val="67A8101C"/>
    <w:rsid w:val="67AA4E8D"/>
    <w:rsid w:val="67AF0A0A"/>
    <w:rsid w:val="67B101D9"/>
    <w:rsid w:val="67B51A77"/>
    <w:rsid w:val="67C94DD4"/>
    <w:rsid w:val="67CC15DC"/>
    <w:rsid w:val="67D1526D"/>
    <w:rsid w:val="67D45F35"/>
    <w:rsid w:val="67D55C78"/>
    <w:rsid w:val="67E10ABE"/>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301C4"/>
    <w:rsid w:val="68C47A98"/>
    <w:rsid w:val="68C55F71"/>
    <w:rsid w:val="68C8761D"/>
    <w:rsid w:val="68CB5363"/>
    <w:rsid w:val="68CE4682"/>
    <w:rsid w:val="68D7380F"/>
    <w:rsid w:val="68DD3BE4"/>
    <w:rsid w:val="68E61D28"/>
    <w:rsid w:val="68E93174"/>
    <w:rsid w:val="68F8558D"/>
    <w:rsid w:val="68FB795E"/>
    <w:rsid w:val="69010354"/>
    <w:rsid w:val="69025DD5"/>
    <w:rsid w:val="69090FE4"/>
    <w:rsid w:val="690C3919"/>
    <w:rsid w:val="690F6F65"/>
    <w:rsid w:val="69187F79"/>
    <w:rsid w:val="691B6CFF"/>
    <w:rsid w:val="691C697F"/>
    <w:rsid w:val="69216153"/>
    <w:rsid w:val="69227DD1"/>
    <w:rsid w:val="6928618E"/>
    <w:rsid w:val="692C1198"/>
    <w:rsid w:val="692E3C0C"/>
    <w:rsid w:val="69344026"/>
    <w:rsid w:val="69366CEE"/>
    <w:rsid w:val="69407A67"/>
    <w:rsid w:val="69430DBD"/>
    <w:rsid w:val="694542C0"/>
    <w:rsid w:val="69461D42"/>
    <w:rsid w:val="694677C3"/>
    <w:rsid w:val="694A61CA"/>
    <w:rsid w:val="694D2DB0"/>
    <w:rsid w:val="6954235C"/>
    <w:rsid w:val="6963130D"/>
    <w:rsid w:val="69655E7A"/>
    <w:rsid w:val="697129CF"/>
    <w:rsid w:val="697B479A"/>
    <w:rsid w:val="697F6A24"/>
    <w:rsid w:val="698450AA"/>
    <w:rsid w:val="69894DB5"/>
    <w:rsid w:val="698A0CE2"/>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6B0B13"/>
    <w:rsid w:val="6A786C3C"/>
    <w:rsid w:val="6A7A0D56"/>
    <w:rsid w:val="6A7E058E"/>
    <w:rsid w:val="6A8504D0"/>
    <w:rsid w:val="6A9B2674"/>
    <w:rsid w:val="6A9D13FA"/>
    <w:rsid w:val="6A9F07BD"/>
    <w:rsid w:val="6AA14535"/>
    <w:rsid w:val="6AAA0710"/>
    <w:rsid w:val="6AAE3893"/>
    <w:rsid w:val="6AB461D4"/>
    <w:rsid w:val="6AB72338"/>
    <w:rsid w:val="6AC45F55"/>
    <w:rsid w:val="6AC87CC0"/>
    <w:rsid w:val="6ADB565B"/>
    <w:rsid w:val="6ADD7165"/>
    <w:rsid w:val="6ADE3093"/>
    <w:rsid w:val="6ADE7686"/>
    <w:rsid w:val="6AE70738"/>
    <w:rsid w:val="6AE97740"/>
    <w:rsid w:val="6AF35162"/>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471CC"/>
    <w:rsid w:val="6C25217A"/>
    <w:rsid w:val="6C311810"/>
    <w:rsid w:val="6C442A2F"/>
    <w:rsid w:val="6C496C32"/>
    <w:rsid w:val="6C615A90"/>
    <w:rsid w:val="6C625B0E"/>
    <w:rsid w:val="6C653F47"/>
    <w:rsid w:val="6C666467"/>
    <w:rsid w:val="6C692BA0"/>
    <w:rsid w:val="6C710F75"/>
    <w:rsid w:val="6C803E37"/>
    <w:rsid w:val="6C891725"/>
    <w:rsid w:val="6C904861"/>
    <w:rsid w:val="6C94405C"/>
    <w:rsid w:val="6C974A38"/>
    <w:rsid w:val="6C976C36"/>
    <w:rsid w:val="6CA1081C"/>
    <w:rsid w:val="6CA32A49"/>
    <w:rsid w:val="6CAA71E5"/>
    <w:rsid w:val="6CAC58D7"/>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44A70"/>
    <w:rsid w:val="6D983849"/>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119D2"/>
    <w:rsid w:val="6E1340F2"/>
    <w:rsid w:val="6E153270"/>
    <w:rsid w:val="6E1A1A5F"/>
    <w:rsid w:val="6E1F62E7"/>
    <w:rsid w:val="6E2D119A"/>
    <w:rsid w:val="6E31687E"/>
    <w:rsid w:val="6E406FF2"/>
    <w:rsid w:val="6E460EFB"/>
    <w:rsid w:val="6E480B7B"/>
    <w:rsid w:val="6E505F87"/>
    <w:rsid w:val="6E601AA5"/>
    <w:rsid w:val="6E6D5537"/>
    <w:rsid w:val="6E7004A6"/>
    <w:rsid w:val="6E7A264F"/>
    <w:rsid w:val="6E7D35D3"/>
    <w:rsid w:val="6E810716"/>
    <w:rsid w:val="6E8977BA"/>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E2EC2"/>
    <w:rsid w:val="6F165D50"/>
    <w:rsid w:val="6F1859D0"/>
    <w:rsid w:val="6F1D1E58"/>
    <w:rsid w:val="6F1F3C7A"/>
    <w:rsid w:val="6F1F535B"/>
    <w:rsid w:val="6F202742"/>
    <w:rsid w:val="6F2140E1"/>
    <w:rsid w:val="6F231BEF"/>
    <w:rsid w:val="6F2B0871"/>
    <w:rsid w:val="6F2C5FF8"/>
    <w:rsid w:val="6F2F391C"/>
    <w:rsid w:val="6F31233E"/>
    <w:rsid w:val="6F3B4C8B"/>
    <w:rsid w:val="6F3C5AED"/>
    <w:rsid w:val="6F54601A"/>
    <w:rsid w:val="6F59718C"/>
    <w:rsid w:val="6F5B1156"/>
    <w:rsid w:val="6F63625D"/>
    <w:rsid w:val="6F655B31"/>
    <w:rsid w:val="6F6561D2"/>
    <w:rsid w:val="6F6D294A"/>
    <w:rsid w:val="6F6F4C02"/>
    <w:rsid w:val="6F784AF0"/>
    <w:rsid w:val="6F7915DC"/>
    <w:rsid w:val="6F7E6BF3"/>
    <w:rsid w:val="6F7F6679"/>
    <w:rsid w:val="6F830903"/>
    <w:rsid w:val="6F8A028E"/>
    <w:rsid w:val="6F8B7F0D"/>
    <w:rsid w:val="6F8E5B0F"/>
    <w:rsid w:val="6F993A2D"/>
    <w:rsid w:val="6FAA7810"/>
    <w:rsid w:val="6FAF14A2"/>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A7660"/>
    <w:rsid w:val="705C289B"/>
    <w:rsid w:val="705E5CE7"/>
    <w:rsid w:val="706A53C9"/>
    <w:rsid w:val="70757E8B"/>
    <w:rsid w:val="70776C11"/>
    <w:rsid w:val="7089502D"/>
    <w:rsid w:val="708F1FE0"/>
    <w:rsid w:val="70903082"/>
    <w:rsid w:val="70980188"/>
    <w:rsid w:val="709C35CE"/>
    <w:rsid w:val="709D6403"/>
    <w:rsid w:val="70A24B63"/>
    <w:rsid w:val="70A703CB"/>
    <w:rsid w:val="70AD70EB"/>
    <w:rsid w:val="70AE62DA"/>
    <w:rsid w:val="70C16D10"/>
    <w:rsid w:val="70C71E93"/>
    <w:rsid w:val="70C94FA3"/>
    <w:rsid w:val="70CA0C1A"/>
    <w:rsid w:val="70CF2B23"/>
    <w:rsid w:val="70DA254F"/>
    <w:rsid w:val="70DA5631"/>
    <w:rsid w:val="70DF36C1"/>
    <w:rsid w:val="70E33D42"/>
    <w:rsid w:val="70E37655"/>
    <w:rsid w:val="70E70925"/>
    <w:rsid w:val="70EB6BD0"/>
    <w:rsid w:val="70EE12CC"/>
    <w:rsid w:val="70F01D72"/>
    <w:rsid w:val="70F10A19"/>
    <w:rsid w:val="70F465DF"/>
    <w:rsid w:val="70F6219F"/>
    <w:rsid w:val="70F729E3"/>
    <w:rsid w:val="70F83CE8"/>
    <w:rsid w:val="71033AE0"/>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BB2380"/>
    <w:rsid w:val="71C92D3B"/>
    <w:rsid w:val="71D13952"/>
    <w:rsid w:val="71D62051"/>
    <w:rsid w:val="71E91071"/>
    <w:rsid w:val="71FD7D12"/>
    <w:rsid w:val="720438FD"/>
    <w:rsid w:val="72111FA0"/>
    <w:rsid w:val="7218332F"/>
    <w:rsid w:val="722056F1"/>
    <w:rsid w:val="7225359C"/>
    <w:rsid w:val="722B231D"/>
    <w:rsid w:val="722E24EF"/>
    <w:rsid w:val="72380DF1"/>
    <w:rsid w:val="723F4D5F"/>
    <w:rsid w:val="72411700"/>
    <w:rsid w:val="7246140B"/>
    <w:rsid w:val="72490608"/>
    <w:rsid w:val="724A458E"/>
    <w:rsid w:val="724D47AF"/>
    <w:rsid w:val="725A3947"/>
    <w:rsid w:val="725C35AF"/>
    <w:rsid w:val="725E2D0C"/>
    <w:rsid w:val="72620508"/>
    <w:rsid w:val="7266063B"/>
    <w:rsid w:val="72683B3E"/>
    <w:rsid w:val="726B5B54"/>
    <w:rsid w:val="726B70DE"/>
    <w:rsid w:val="726C7FC6"/>
    <w:rsid w:val="726D5A47"/>
    <w:rsid w:val="728743F3"/>
    <w:rsid w:val="728A50C8"/>
    <w:rsid w:val="728E17FF"/>
    <w:rsid w:val="7294672D"/>
    <w:rsid w:val="72AA58AC"/>
    <w:rsid w:val="72AB3D4C"/>
    <w:rsid w:val="72B33FBD"/>
    <w:rsid w:val="72B8241C"/>
    <w:rsid w:val="72BA5B47"/>
    <w:rsid w:val="72BB3CBA"/>
    <w:rsid w:val="72C5775B"/>
    <w:rsid w:val="72CF006A"/>
    <w:rsid w:val="72CF05C3"/>
    <w:rsid w:val="72D444F2"/>
    <w:rsid w:val="72EC0317"/>
    <w:rsid w:val="72F65D2C"/>
    <w:rsid w:val="73015ACB"/>
    <w:rsid w:val="7305217D"/>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622E5C"/>
    <w:rsid w:val="736308DE"/>
    <w:rsid w:val="7364105E"/>
    <w:rsid w:val="736A43DA"/>
    <w:rsid w:val="736B3932"/>
    <w:rsid w:val="736E51D0"/>
    <w:rsid w:val="736F68EF"/>
    <w:rsid w:val="737230F7"/>
    <w:rsid w:val="73724CC1"/>
    <w:rsid w:val="73724D47"/>
    <w:rsid w:val="73727F0B"/>
    <w:rsid w:val="73781BAB"/>
    <w:rsid w:val="737A2701"/>
    <w:rsid w:val="737C09CA"/>
    <w:rsid w:val="73877819"/>
    <w:rsid w:val="73897499"/>
    <w:rsid w:val="738C041D"/>
    <w:rsid w:val="7394143C"/>
    <w:rsid w:val="739432AB"/>
    <w:rsid w:val="73970283"/>
    <w:rsid w:val="73A215DC"/>
    <w:rsid w:val="73A81F4C"/>
    <w:rsid w:val="73C208F7"/>
    <w:rsid w:val="73D47EC5"/>
    <w:rsid w:val="73D60552"/>
    <w:rsid w:val="73D67598"/>
    <w:rsid w:val="73E133AB"/>
    <w:rsid w:val="73E57241"/>
    <w:rsid w:val="73E71016"/>
    <w:rsid w:val="73EE6DB6"/>
    <w:rsid w:val="73FA64D3"/>
    <w:rsid w:val="73FC1E9B"/>
    <w:rsid w:val="74015E5E"/>
    <w:rsid w:val="74034BE4"/>
    <w:rsid w:val="74087DEE"/>
    <w:rsid w:val="740D76F2"/>
    <w:rsid w:val="74122000"/>
    <w:rsid w:val="74261711"/>
    <w:rsid w:val="742A559B"/>
    <w:rsid w:val="743E5CC3"/>
    <w:rsid w:val="7440091B"/>
    <w:rsid w:val="744530CF"/>
    <w:rsid w:val="745F79D2"/>
    <w:rsid w:val="746074FC"/>
    <w:rsid w:val="746A3BEA"/>
    <w:rsid w:val="746A5998"/>
    <w:rsid w:val="7474619D"/>
    <w:rsid w:val="74746816"/>
    <w:rsid w:val="747B5B27"/>
    <w:rsid w:val="747C35A9"/>
    <w:rsid w:val="74804596"/>
    <w:rsid w:val="74884070"/>
    <w:rsid w:val="748922C2"/>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811F5"/>
    <w:rsid w:val="74F91C79"/>
    <w:rsid w:val="74FC0CE6"/>
    <w:rsid w:val="75007F91"/>
    <w:rsid w:val="75045DEC"/>
    <w:rsid w:val="7506312B"/>
    <w:rsid w:val="75063912"/>
    <w:rsid w:val="751402A4"/>
    <w:rsid w:val="75142AA3"/>
    <w:rsid w:val="75167F24"/>
    <w:rsid w:val="75173427"/>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56A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E5798"/>
    <w:rsid w:val="76AF2244"/>
    <w:rsid w:val="76B579D0"/>
    <w:rsid w:val="76C021E7"/>
    <w:rsid w:val="76D417EE"/>
    <w:rsid w:val="76D85607"/>
    <w:rsid w:val="76FB26C3"/>
    <w:rsid w:val="76FB48C2"/>
    <w:rsid w:val="770B019B"/>
    <w:rsid w:val="770C71DA"/>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42B72"/>
    <w:rsid w:val="7769462C"/>
    <w:rsid w:val="776B3F01"/>
    <w:rsid w:val="77727D83"/>
    <w:rsid w:val="777A2396"/>
    <w:rsid w:val="777D3C34"/>
    <w:rsid w:val="77854826"/>
    <w:rsid w:val="778A542A"/>
    <w:rsid w:val="778E18B2"/>
    <w:rsid w:val="779D7E32"/>
    <w:rsid w:val="779F004E"/>
    <w:rsid w:val="77A108D3"/>
    <w:rsid w:val="77A45FD4"/>
    <w:rsid w:val="77AE203F"/>
    <w:rsid w:val="77B11B5A"/>
    <w:rsid w:val="77B41AF2"/>
    <w:rsid w:val="77B94E10"/>
    <w:rsid w:val="77C13386"/>
    <w:rsid w:val="77C67389"/>
    <w:rsid w:val="77C7032E"/>
    <w:rsid w:val="77D13620"/>
    <w:rsid w:val="77D323A7"/>
    <w:rsid w:val="77DB67A7"/>
    <w:rsid w:val="77DB77B3"/>
    <w:rsid w:val="77DD2CB6"/>
    <w:rsid w:val="77E522C1"/>
    <w:rsid w:val="77EA6748"/>
    <w:rsid w:val="77F67856"/>
    <w:rsid w:val="77F75A5E"/>
    <w:rsid w:val="77FE53E9"/>
    <w:rsid w:val="7804209D"/>
    <w:rsid w:val="78197298"/>
    <w:rsid w:val="78347095"/>
    <w:rsid w:val="783F3C54"/>
    <w:rsid w:val="78455B5D"/>
    <w:rsid w:val="784635DF"/>
    <w:rsid w:val="784C2F6A"/>
    <w:rsid w:val="784D09EB"/>
    <w:rsid w:val="78524E73"/>
    <w:rsid w:val="78597C58"/>
    <w:rsid w:val="786B013C"/>
    <w:rsid w:val="78777631"/>
    <w:rsid w:val="787943FB"/>
    <w:rsid w:val="787A0D3F"/>
    <w:rsid w:val="787D3AF1"/>
    <w:rsid w:val="788538A6"/>
    <w:rsid w:val="78892DCF"/>
    <w:rsid w:val="788A066E"/>
    <w:rsid w:val="78905891"/>
    <w:rsid w:val="78931961"/>
    <w:rsid w:val="78977B66"/>
    <w:rsid w:val="789E5ABF"/>
    <w:rsid w:val="78A21BA4"/>
    <w:rsid w:val="78A53CFB"/>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1E7E8F"/>
    <w:rsid w:val="79261F6E"/>
    <w:rsid w:val="79294073"/>
    <w:rsid w:val="792C5E5B"/>
    <w:rsid w:val="79300FDE"/>
    <w:rsid w:val="793C2A31"/>
    <w:rsid w:val="793D3B77"/>
    <w:rsid w:val="79427FFF"/>
    <w:rsid w:val="794C1B10"/>
    <w:rsid w:val="79502D1E"/>
    <w:rsid w:val="796A3742"/>
    <w:rsid w:val="79711576"/>
    <w:rsid w:val="797177C8"/>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DF4732"/>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23425"/>
    <w:rsid w:val="7A49752C"/>
    <w:rsid w:val="7A514939"/>
    <w:rsid w:val="7A581D45"/>
    <w:rsid w:val="7A5C6674"/>
    <w:rsid w:val="7A6A32E4"/>
    <w:rsid w:val="7A6D6467"/>
    <w:rsid w:val="7A6D7F90"/>
    <w:rsid w:val="7A6F1B2F"/>
    <w:rsid w:val="7A6F3D08"/>
    <w:rsid w:val="7A712C6F"/>
    <w:rsid w:val="7A925C48"/>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8132A"/>
    <w:rsid w:val="7B102740"/>
    <w:rsid w:val="7B12098D"/>
    <w:rsid w:val="7B151345"/>
    <w:rsid w:val="7B1702F5"/>
    <w:rsid w:val="7B191EC6"/>
    <w:rsid w:val="7B1C5306"/>
    <w:rsid w:val="7B1E0809"/>
    <w:rsid w:val="7B242713"/>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58DD"/>
    <w:rsid w:val="7BD8722C"/>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9E6B26"/>
    <w:rsid w:val="7CA0289E"/>
    <w:rsid w:val="7CA12173"/>
    <w:rsid w:val="7CAB4469"/>
    <w:rsid w:val="7CAF4890"/>
    <w:rsid w:val="7CB0319E"/>
    <w:rsid w:val="7CB157B5"/>
    <w:rsid w:val="7CBA7331"/>
    <w:rsid w:val="7CC0731E"/>
    <w:rsid w:val="7CC72903"/>
    <w:rsid w:val="7CCC14D9"/>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B74AC"/>
    <w:rsid w:val="7D5117D8"/>
    <w:rsid w:val="7D5207A9"/>
    <w:rsid w:val="7D55172E"/>
    <w:rsid w:val="7D5A5D84"/>
    <w:rsid w:val="7D640786"/>
    <w:rsid w:val="7D6815C0"/>
    <w:rsid w:val="7D6B16D3"/>
    <w:rsid w:val="7D74675F"/>
    <w:rsid w:val="7D772F67"/>
    <w:rsid w:val="7D883202"/>
    <w:rsid w:val="7D9046C1"/>
    <w:rsid w:val="7D9A699F"/>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EC38C1"/>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23556"/>
    <w:rsid w:val="7F361C43"/>
    <w:rsid w:val="7F376DBE"/>
    <w:rsid w:val="7F435763"/>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C32B2C"/>
    <w:rsid w:val="7FC43332"/>
    <w:rsid w:val="7FC65CAF"/>
    <w:rsid w:val="7FC66CD0"/>
    <w:rsid w:val="7FC73731"/>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1591</Words>
  <Characters>10099</Characters>
  <Lines>108</Lines>
  <Paragraphs>30</Paragraphs>
  <TotalTime>50</TotalTime>
  <ScaleCrop>false</ScaleCrop>
  <LinksUpToDate>false</LinksUpToDate>
  <CharactersWithSpaces>11673</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2026-04-16T14:11:23Z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