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6"/>
          <w:szCs w:val="16"/>
          <w14:textFill>
            <w14:solidFill>
              <w14:schemeClr w14:val="tx1"/>
            </w14:solidFill>
          </w14:textFill>
        </w:rPr>
        <w:t>abhilekhp.phd24.ec@nitp.ac.in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Agri-IoT play a pivotal role in modern precision agriculture by enabling continuous monitoring of crop and soil parameters. But their effectiveness heavily depends on the efficiency and sustainability of the underlying Wireless Sensor Networks (WSNs). These networks are severely constrained by limited battery resources, leading to uneven energy depletion, poor cluster formation hence reduces network lifetime. While traditional clustering protocols such as LEACH, DEEC, PSO, ACO and FCM provide foundational frameworks, they often struggle with non-uniform energy depletion and coverage gaps in large scale Agri-IoT deployments. To address these critical scalability and energy constraints, this paper proposes a novel framework, termed Reinforcement Learning driven Hybrid Clustering (RLHC), designed to enhance network lifetime and operational intelligence. The framework integrates energy-aware cluster head selection, spatially balanced cluster head distribution, and compact cluster formation with adaptive learning and optimized routing strategies. To rigorously assess its effectiveness, the framework is deployed under both centralized and federated architectures, provides its detailed evaluation of scalability and adaptability across varying network conditions. Simulation results demonstrate that the proposed framework significantly outperforms existing approaches by maintaining complete sector survivability, where 9 out of 9 sectors remains operational after 1000 rounds of simulation. It improves network lifetime by 57% over LEACH/DEEC and 45% over PSO/ACO/FCM, while reducing energy consumption by 33% and 16%, respectively. Furthermore, it achieves up to 240% higher throughput compared to LEACH/DEEC and 50% improvement over PSO/ACO/FCM, while maintaining comparatively better PDR. Among the two variants of proposed framework, the federated deployment demonstrates superior robustness by sustaining 3 times more surviving sectors and achieving 8% longer network lifetime as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t>
      </w:r>
      <w:r>
        <w:rPr>
          <w:rFonts w:hint="default"/>
          <w:b/>
          <w:bCs/>
          <w:i/>
          <w:iCs/>
          <w:sz w:val="18"/>
          <w:szCs w:val="18"/>
          <w:lang w:val="en-US"/>
        </w:rPr>
        <w:t>Agricultural IoT, Wireless Sensor Networks (WSNs), Energy Optimization, Internet of Things, Low Energy Adaptive Clustering Hierarchy (LEACH), Energy Efficient Algorithm.</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Agriculture remains a fundamental pillar of global food security and economic stability, driven by its critical role in sustaining livelihoods and meeting growing nutritional demands. In India, the agricultural sector serves as a cornerstone of national productivity, contributing 18.2 % to the economy while supporting a large proportion of the rural population. For small and specialized farmers, it represents a primary source of income, accounting for a substantial share of annual household earnings [1]. Approx. 55% of total workforce solely depends upon the agriculture.   The traditional agricultural practices often rely on manual observation and static decision making, which are inadequate for addressing large scale farms and accurately monitor crop health or variations in soil conditions. In this context, Agri-IoT has emerged as a transformative solution, enabling continuous monitoring of soil, crop and environmental conditions through interconnected sensing systems, thereby facilitating data driven and precision agriculture. It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 time window into remote plantation locations without human involvement. Despite their great potential, WSNs encounter significant limitations in terms of network lifetime, reliability of communication and energy efficiency. Generally these nodes are deployed in remote locations and densely deployed which make accessing individual nodes to perform maintenance or replace batteries very difficult [3].  As a result, the battery depletes energy in nodes leads to network partitions, energy hole and decreases performance.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08964438">
      <w:pPr>
        <w:pageBreakBefore w:val="0"/>
        <w:bidi w:val="0"/>
        <w:ind w:firstLine="0" w:firstLineChars="0"/>
        <w:jc w:val="both"/>
        <w:rPr>
          <w:rFonts w:hint="default"/>
          <w:lang w:val="en-US"/>
        </w:rPr>
      </w:pPr>
      <w:r>
        <w:rPr>
          <w:rFonts w:hint="default"/>
          <w:lang w:val="en-US"/>
        </w:rPr>
        <w:t xml:space="preserve">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 Ultimately, while SEP and DEEC significantly improve upon traditional methods by addressing node heterogeneity, they represent just the first step toward truly autonomous energy balance in the WSNs. </w:t>
      </w:r>
    </w:p>
    <w:p w14:paraId="50022DFA">
      <w:pPr>
        <w:pageBreakBefore w:val="0"/>
        <w:bidi w:val="0"/>
        <w:ind w:firstLine="0" w:firstLineChars="0"/>
        <w:jc w:val="both"/>
        <w:rPr>
          <w:rFonts w:hint="default"/>
          <w:lang w:val="en-US"/>
        </w:rPr>
      </w:pPr>
    </w:p>
    <w:p w14:paraId="0F1ABA74">
      <w:pPr>
        <w:pageBreakBefore w:val="0"/>
        <w:bidi w:val="0"/>
        <w:ind w:firstLine="0" w:firstLineChars="0"/>
        <w:jc w:val="both"/>
        <w:rPr>
          <w:rFonts w:hint="default"/>
          <w:sz w:val="16"/>
          <w:szCs w:val="16"/>
          <w:lang w:val="en-US"/>
        </w:rPr>
      </w:pPr>
      <w:r>
        <w:rPr>
          <w:rFonts w:hint="default"/>
          <w:lang w:val="en-US"/>
        </w:rPr>
        <w:t>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RLHC</w:t>
      </w:r>
      <w:bookmarkStart w:id="0" w:name="_GoBack"/>
      <w:bookmarkEnd w:id="0"/>
      <w:r>
        <w:rPr>
          <w:rFonts w:hint="default"/>
          <w:lang w:val="en-US"/>
        </w:rPr>
        <w:t xml:space="preserve"> approach that fuses intelligent optimization techniques across multiple layers of the clustering process. </w:t>
      </w:r>
    </w:p>
    <w:p w14:paraId="7CC2BEE9">
      <w:pPr>
        <w:keepNext w:val="0"/>
        <w:keepLines w:val="0"/>
        <w:pageBreakBefore w:val="0"/>
        <w:widowControl/>
        <w:kinsoku/>
        <w:wordWrap/>
        <w:overflowPunct/>
        <w:topLinePunct w:val="0"/>
        <w:autoSpaceDE/>
        <w:autoSpaceDN/>
        <w:bidi w:val="0"/>
        <w:adjustRightInd/>
        <w:snapToGrid/>
        <w:spacing w:before="181" w:beforeLines="50"/>
        <w:textAlignment w:val="auto"/>
        <w:rPr>
          <w:rFonts w:hint="default"/>
          <w:sz w:val="16"/>
          <w:szCs w:val="16"/>
          <w:lang w:val="en-US"/>
        </w:rPr>
      </w:pPr>
      <w:r>
        <w:rPr>
          <w:rFonts w:hint="default"/>
          <w:sz w:val="16"/>
          <w:szCs w:val="16"/>
          <w:lang w:val="en-US"/>
        </w:rPr>
        <w:drawing>
          <wp:anchor distT="0" distB="0" distL="114300" distR="114300" simplePos="0" relativeHeight="251663360" behindDoc="0" locked="0" layoutInCell="1" allowOverlap="1">
            <wp:simplePos x="0" y="0"/>
            <wp:positionH relativeFrom="column">
              <wp:posOffset>154305</wp:posOffset>
            </wp:positionH>
            <wp:positionV relativeFrom="paragraph">
              <wp:posOffset>143510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1FB1799A">
      <w:pPr>
        <w:bidi w:val="0"/>
        <w:jc w:val="both"/>
        <w:rPr>
          <w:rFonts w:hint="default"/>
          <w:lang w:val="en-US"/>
        </w:rPr>
      </w:pPr>
    </w:p>
    <w:p w14:paraId="67908769">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 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08FF23F2">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 By integrating this framework into Agri-IoT marks a pivotal step toward agricultural modernization &amp; significantly boosting overall productivity.</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59329D52">
      <w:pPr>
        <w:numPr>
          <w:ilvl w:val="0"/>
          <w:numId w:val="0"/>
        </w:numPr>
        <w:bidi w:val="0"/>
        <w:ind w:leftChars="0"/>
        <w:jc w:val="both"/>
        <w:rPr>
          <w:rFonts w:hint="default"/>
          <w:lang w:val="en-US"/>
        </w:rPr>
      </w:pPr>
    </w:p>
    <w:p w14:paraId="45004621">
      <w:pPr>
        <w:bidi w:val="0"/>
        <w:jc w:val="both"/>
        <w:rPr>
          <w:rFonts w:hint="default"/>
          <w:lang w:val="en-US"/>
        </w:rPr>
      </w:pPr>
      <w:r>
        <w:rPr>
          <w:rFonts w:hint="default"/>
          <w:lang w:val="en-US"/>
        </w:rPr>
        <w:t>The remaining part of this paper is organized as follows:</w:t>
      </w:r>
    </w:p>
    <w:p w14:paraId="1EB2F224">
      <w:pPr>
        <w:bidi w:val="0"/>
        <w:jc w:val="both"/>
        <w:rPr>
          <w:rFonts w:hint="default"/>
          <w:lang w:val="en-US"/>
        </w:rPr>
      </w:pP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Section II represents a comprehensive literature review of existing clustering protocols and RL approaches in WSNs. Section III focus on the methodology of proposed RLHC framework in details and explain each layer contribution. Section IV presents the simulation results, performance evaluation parameters and comparative analysis of the proposed RLHC protocol with existing approaches. Finally, Section V provides the conclusion and highlights possible future research direction.</w:t>
      </w: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3324"/>
        <w:gridCol w:w="2917"/>
        <w:gridCol w:w="3271"/>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3324"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2917"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271"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3324"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[15]</w:t>
            </w:r>
          </w:p>
        </w:tc>
        <w:tc>
          <w:tcPr>
            <w:tcW w:w="2917"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271"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3324"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[26]</w:t>
            </w:r>
          </w:p>
        </w:tc>
        <w:tc>
          <w:tcPr>
            <w:tcW w:w="2917"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271"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3324"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[17]</w:t>
            </w:r>
          </w:p>
        </w:tc>
        <w:tc>
          <w:tcPr>
            <w:tcW w:w="2917"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271"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3324"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[18]</w:t>
            </w:r>
          </w:p>
        </w:tc>
        <w:tc>
          <w:tcPr>
            <w:tcW w:w="2917"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271"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3324"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[19]</w:t>
            </w:r>
          </w:p>
        </w:tc>
        <w:tc>
          <w:tcPr>
            <w:tcW w:w="2917"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271"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3324"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[20]</w:t>
            </w:r>
          </w:p>
        </w:tc>
        <w:tc>
          <w:tcPr>
            <w:tcW w:w="2917"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271"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3324"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[21]</w:t>
            </w:r>
          </w:p>
        </w:tc>
        <w:tc>
          <w:tcPr>
            <w:tcW w:w="2917"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271"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3324"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[22]</w:t>
            </w:r>
          </w:p>
        </w:tc>
        <w:tc>
          <w:tcPr>
            <w:tcW w:w="2917"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271"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3324"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[23]</w:t>
            </w:r>
          </w:p>
        </w:tc>
        <w:tc>
          <w:tcPr>
            <w:tcW w:w="2917"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271"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3324"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[24]</w:t>
            </w:r>
          </w:p>
        </w:tc>
        <w:tc>
          <w:tcPr>
            <w:tcW w:w="2917"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271"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3324"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5)[25]</w:t>
            </w:r>
          </w:p>
        </w:tc>
        <w:tc>
          <w:tcPr>
            <w:tcW w:w="2917"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271"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3324"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[26]</w:t>
            </w:r>
          </w:p>
        </w:tc>
        <w:tc>
          <w:tcPr>
            <w:tcW w:w="2917"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271"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3324"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[27]</w:t>
            </w:r>
          </w:p>
        </w:tc>
        <w:tc>
          <w:tcPr>
            <w:tcW w:w="2917"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271"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3324"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[28]</w:t>
            </w:r>
          </w:p>
        </w:tc>
        <w:tc>
          <w:tcPr>
            <w:tcW w:w="2917"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271"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3324"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[29]</w:t>
            </w:r>
          </w:p>
        </w:tc>
        <w:tc>
          <w:tcPr>
            <w:tcW w:w="2917"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271"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3324"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[30]</w:t>
            </w:r>
          </w:p>
        </w:tc>
        <w:tc>
          <w:tcPr>
            <w:tcW w:w="2917"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271"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3324"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[31]</w:t>
            </w:r>
          </w:p>
        </w:tc>
        <w:tc>
          <w:tcPr>
            <w:tcW w:w="2917"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w:t>
            </w:r>
            <w:r>
              <w:rPr>
                <w:rFonts w:hint="default"/>
                <w:vertAlign w:val="baseline"/>
                <w:lang w:val="en-US"/>
              </w:rPr>
              <w:t xml:space="preserve"> and</w:t>
            </w:r>
            <w:r>
              <w:rPr>
                <w:rFonts w:hint="default"/>
                <w:vertAlign w:val="baseline"/>
              </w:rPr>
              <w:t xml:space="preserve"> UAV-assisted routing).</w:t>
            </w:r>
          </w:p>
        </w:tc>
        <w:tc>
          <w:tcPr>
            <w:tcW w:w="3271"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3324"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[32]</w:t>
            </w:r>
          </w:p>
        </w:tc>
        <w:tc>
          <w:tcPr>
            <w:tcW w:w="2917"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271"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3324"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[33]</w:t>
            </w:r>
          </w:p>
        </w:tc>
        <w:tc>
          <w:tcPr>
            <w:tcW w:w="2917"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271"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3324"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[34]</w:t>
            </w:r>
          </w:p>
        </w:tc>
        <w:tc>
          <w:tcPr>
            <w:tcW w:w="2917"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271"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3324"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[35]</w:t>
            </w:r>
          </w:p>
        </w:tc>
        <w:tc>
          <w:tcPr>
            <w:tcW w:w="2917"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271"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3324"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[36]</w:t>
            </w:r>
          </w:p>
        </w:tc>
        <w:tc>
          <w:tcPr>
            <w:tcW w:w="2917"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271"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pPr>
    </w:p>
    <w:p w14:paraId="2BEC0D7B">
      <w:pPr>
        <w:jc w:val="left"/>
        <w:rPr>
          <w:rFonts w:hint="default"/>
        </w:rPr>
      </w:pPr>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233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Cambria Math" w:hAnsi="Cambria Math"/>
                      <w:lang w:val="en-US"/>
                    </w:rPr>
                    <m:t xml:space="preserve">        </m:t>
                  </m:r>
                  <m:r>
                    <m:rPr>
                      <m:sty m:val="p"/>
                    </m:rPr>
                    <w:rPr>
                      <w:rFonts w:hint="default" w:ascii="Times New Roman" w:hAnsi="Times New Roman"/>
                    </w:rPr>
                    <m:t>if</m:t>
                  </m:r>
                  <m:r>
                    <m:rPr>
                      <m:sty m:val="p"/>
                    </m:rPr>
                    <w:rPr>
                      <w:rFonts w:hint="default"/>
                      <w:lang w:val="en-US"/>
                    </w:rPr>
                    <m:t xml:space="preserve"> </m:t>
                  </m:r>
                  <m:r>
                    <m:rPr>
                      <m:sty m:val="p"/>
                    </m:rPr>
                    <w:rPr>
                      <w:rFonts w:hint="default" w:ascii="Times New Roman" w:hAnsi="Times New Roman"/>
                    </w:rPr>
                    <m:t>n∈G</m:t>
                  </m:r>
                  <m:ctrlPr>
                    <w:rPr>
                      <w:rFonts w:hint="default" w:ascii="Cambria Math" w:hAnsi="Cambria Math"/>
                    </w:rPr>
                  </m:ctrlPr>
                </m:e>
                <m:e>
                  <m:r>
                    <m:rPr>
                      <m:sty m:val="p"/>
                    </m:rPr>
                    <w:rPr>
                      <w:rFonts w:hint="default" w:ascii="Times New Roman" w:hAnsi="Times New Roman"/>
                    </w:rPr>
                    <m:t>0</m:t>
                  </m:r>
                  <m:r>
                    <m:rPr>
                      <m:sty m:val="p"/>
                    </m:rPr>
                    <w:rPr>
                      <w:rFonts w:hint="default"/>
                      <w:lang w:val="en-US"/>
                    </w:rPr>
                    <m:t xml:space="preserve">                     </m:t>
                  </m:r>
                  <m:r>
                    <m:rPr>
                      <m:sty m:val="p"/>
                    </m:rPr>
                    <w:rPr>
                      <w:rFonts w:hint="default" w:ascii="Times New Roman" w:hAnsi="Times New Roman"/>
                    </w:rPr>
                    <m:t>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65408"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4384"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66432"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67456"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6" name="Picture 16"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3"/>
        <w:gridCol w:w="1903"/>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903"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903"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1000</w:t>
            </w:r>
            <w:r>
              <w:rPr>
                <w:rFonts w:hint="default" w:ascii="Times New Roman" w:hAnsi="Times New Roman" w:eastAsia="SimSun" w:cs="Times New Roman"/>
                <w:color w:val="000000"/>
                <w:kern w:val="0"/>
                <w:sz w:val="20"/>
                <w:szCs w:val="20"/>
                <w:vertAlign w:val="baseline"/>
                <w:lang w:val="en-US" w:eastAsia="zh-CN" w:bidi="ar"/>
              </w:rPr>
              <w:t xml:space="preserve">m x </w:t>
            </w:r>
            <w:r>
              <w:rPr>
                <w:rFonts w:hint="default" w:cs="Times New Roman"/>
                <w:color w:val="000000"/>
                <w:kern w:val="0"/>
                <w:sz w:val="20"/>
                <w:szCs w:val="20"/>
                <w:vertAlign w:val="baseline"/>
                <w:lang w:val="en-US" w:eastAsia="zh-CN" w:bidi="ar"/>
              </w:rPr>
              <w:t>10</w:t>
            </w:r>
            <w:r>
              <w:rPr>
                <w:rFonts w:hint="default" w:ascii="Times New Roman" w:hAnsi="Times New Roman" w:eastAsia="SimSun" w:cs="Times New Roman"/>
                <w:color w:val="000000"/>
                <w:kern w:val="0"/>
                <w:sz w:val="20"/>
                <w:szCs w:val="20"/>
                <w:vertAlign w:val="baseline"/>
                <w:lang w:val="en-US" w:eastAsia="zh-CN" w:bidi="ar"/>
              </w:rPr>
              <w:t>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903"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150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903"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903"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128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903"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903"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903"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903"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903"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903"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1000 - 4000</w:t>
            </w:r>
          </w:p>
        </w:tc>
      </w:tr>
      <w:tr w14:paraId="14DC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043700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Sectorization</w:t>
            </w:r>
          </w:p>
        </w:tc>
        <w:tc>
          <w:tcPr>
            <w:tcW w:w="1903" w:type="dxa"/>
          </w:tcPr>
          <w:p w14:paraId="0C54889D">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3 × 3 grid (9 sectors)</w:t>
            </w:r>
          </w:p>
        </w:tc>
      </w:tr>
      <w:tr w14:paraId="157D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6A7BC8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Operating Frequency</w:t>
            </w:r>
          </w:p>
        </w:tc>
        <w:tc>
          <w:tcPr>
            <w:tcW w:w="1903" w:type="dxa"/>
          </w:tcPr>
          <w:p w14:paraId="5EB6F636">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865 MHz (LoRa)</w:t>
            </w:r>
          </w:p>
        </w:tc>
      </w:tr>
    </w:tbl>
    <w:p w14:paraId="22D64660">
      <w:pPr>
        <w:bidi w:val="0"/>
        <w:jc w:val="both"/>
        <w:rPr>
          <w:rFonts w:hint="default"/>
          <w:lang w:val="en-US"/>
        </w:rPr>
      </w:pPr>
    </w:p>
    <w:p w14:paraId="43F37A3C">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then it disseminates decisions to sensor nodes. Second one is federated (distributed) approach, where the framework is executed at the CH level. Each CH locally performs all the operation then the local Q-Table are aggregated at BS after ‘n’ numbers of  rounds to reach a global policy.</w:t>
      </w: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3BA89860">
      <w:pPr>
        <w:bidi w:val="0"/>
        <w:jc w:val="both"/>
        <w:rPr>
          <w:rFonts w:hint="default"/>
          <w:lang w:val="en-US"/>
        </w:rPr>
      </w:pPr>
      <w:r>
        <w:rPr>
          <w:rFonts w:hint="default"/>
          <w:lang w:val="en-US"/>
        </w:rPr>
        <w:t xml:space="preserve">This section presents the performance evaluation of the various energy optimization </w:t>
      </w:r>
      <w:r>
        <w:rPr>
          <w:rFonts w:hint="default"/>
          <w:b w:val="0"/>
          <w:bCs w:val="0"/>
          <w:i w:val="0"/>
          <w:iCs w:val="0"/>
          <w:sz w:val="20"/>
          <w:szCs w:val="20"/>
          <w:lang w:val="en-US"/>
        </w:rPr>
        <w:t xml:space="preserve">algorithms </w:t>
      </w:r>
      <w:r>
        <w:rPr>
          <w:rFonts w:hint="default"/>
          <w:lang w:val="en-US"/>
        </w:rPr>
        <w:t xml:space="preserve">and the proposed framework. The analysis focuses on the </w:t>
      </w:r>
      <w:r>
        <w:rPr>
          <w:rFonts w:hint="default"/>
          <w:color w:val="000000"/>
          <w:kern w:val="0"/>
          <w:sz w:val="20"/>
          <w:szCs w:val="20"/>
          <w:lang w:val="en-US" w:eastAsia="zh-CN"/>
        </w:rPr>
        <w:t xml:space="preserve">sectoral survivability,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04320D24">
      <w:pPr>
        <w:bidi w:val="0"/>
        <w:jc w:val="both"/>
        <w:rPr>
          <w:rFonts w:hint="default"/>
          <w:sz w:val="16"/>
          <w:szCs w:val="16"/>
          <w:lang w:val="en-US"/>
        </w:rPr>
      </w:pPr>
      <w:r>
        <w:rPr>
          <w:rFonts w:hint="default"/>
          <w:lang w:val="en-US"/>
        </w:rPr>
        <w:drawing>
          <wp:anchor distT="0" distB="0" distL="114300" distR="114300" simplePos="0" relativeHeight="251668480" behindDoc="0" locked="0" layoutInCell="1" allowOverlap="1">
            <wp:simplePos x="0" y="0"/>
            <wp:positionH relativeFrom="column">
              <wp:posOffset>0</wp:posOffset>
            </wp:positionH>
            <wp:positionV relativeFrom="paragraph">
              <wp:posOffset>71120</wp:posOffset>
            </wp:positionV>
            <wp:extent cx="3077210" cy="1040765"/>
            <wp:effectExtent l="0" t="0" r="8890" b="6985"/>
            <wp:wrapTopAndBottom/>
            <wp:docPr id="8" name="Picture 8" descr="secto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tor_comparison"/>
                    <pic:cNvPicPr>
                      <a:picLocks noChangeAspect="1"/>
                    </pic:cNvPicPr>
                  </pic:nvPicPr>
                  <pic:blipFill>
                    <a:blip r:embed="rId17"/>
                    <a:stretch>
                      <a:fillRect/>
                    </a:stretch>
                  </pic:blipFill>
                  <pic:spPr>
                    <a:xfrm>
                      <a:off x="0" y="0"/>
                      <a:ext cx="3077210" cy="1040765"/>
                    </a:xfrm>
                    <a:prstGeom prst="rect">
                      <a:avLst/>
                    </a:prstGeom>
                  </pic:spPr>
                </pic:pic>
              </a:graphicData>
            </a:graphic>
          </wp:anchor>
        </w:drawing>
      </w:r>
    </w:p>
    <w:p w14:paraId="2DE7D22E">
      <w:pPr>
        <w:bidi w:val="0"/>
        <w:jc w:val="center"/>
        <w:rPr>
          <w:rFonts w:hint="default"/>
          <w:sz w:val="16"/>
          <w:szCs w:val="16"/>
          <w:lang w:val="en-US"/>
        </w:rPr>
      </w:pPr>
      <w:r>
        <w:rPr>
          <w:rFonts w:hint="default"/>
          <w:sz w:val="16"/>
          <w:szCs w:val="16"/>
          <w:lang w:val="en-US"/>
        </w:rPr>
        <w:drawing>
          <wp:inline distT="0" distB="0" distL="114300" distR="114300">
            <wp:extent cx="3077210" cy="1040765"/>
            <wp:effectExtent l="0" t="0" r="8890" b="6985"/>
            <wp:docPr id="15" name="Picture 15" descr="sector_comparis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ector_comparison1"/>
                    <pic:cNvPicPr>
                      <a:picLocks noChangeAspect="1"/>
                    </pic:cNvPicPr>
                  </pic:nvPicPr>
                  <pic:blipFill>
                    <a:blip r:embed="rId18"/>
                    <a:stretch>
                      <a:fillRect/>
                    </a:stretch>
                  </pic:blipFill>
                  <pic:spPr>
                    <a:xfrm>
                      <a:off x="0" y="0"/>
                      <a:ext cx="3077210" cy="1040765"/>
                    </a:xfrm>
                    <a:prstGeom prst="rect">
                      <a:avLst/>
                    </a:prstGeom>
                  </pic:spPr>
                </pic:pic>
              </a:graphicData>
            </a:graphic>
          </wp:inline>
        </w:drawing>
      </w:r>
    </w:p>
    <w:p w14:paraId="1888B25B">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t>Figure 9. Sectoral survival/coverage after 1000 rounds of simulation</w:t>
      </w:r>
    </w:p>
    <w:p w14:paraId="0536E847">
      <w:pPr>
        <w:bidi w:val="0"/>
        <w:jc w:val="center"/>
        <w:rPr>
          <w:rFonts w:hint="default"/>
          <w:sz w:val="16"/>
          <w:szCs w:val="16"/>
          <w:lang w:val="en-US"/>
        </w:rPr>
      </w:pPr>
    </w:p>
    <w:p w14:paraId="74362420">
      <w:pPr>
        <w:bidi w:val="0"/>
        <w:jc w:val="both"/>
        <w:rPr>
          <w:rFonts w:hint="default"/>
          <w:lang w:val="en-US"/>
        </w:rPr>
      </w:pPr>
      <w:r>
        <w:rPr>
          <w:rFonts w:hint="default"/>
          <w:lang w:val="en-US"/>
        </w:rPr>
        <w:t xml:space="preserve">Figure 9 represents a comparative analysis of clustering protocols LEACH, DEEC, FCM, PSO, ACO and RLHC evaluated over a 1000 × 1000 m² network area partitioned into nine (3x3) sectors. Gray shading indicates sectors that lost coverage before the final round, while annotated values denote the exact round of sector coverage failure. LEACH exhibits the poorest reliability, with only 1 sector remaining operational up to round 1000. DEEC shows marginal improvement, sustaining 3 sectors until the final round. FCM and PSO demonstrate significantly enhanced performance, maintaining 7 and 6 sectors, respectively. ACO further improves robustness with 8 sectors surviving through round 1000. In contrast, RLHC achieves complete network stability, with all 9 sectors remaining functional until the end, indicating superior reliability and coverage preservation. </w:t>
      </w:r>
    </w:p>
    <w:p w14:paraId="4B01D2EE">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9504" behindDoc="0" locked="0" layoutInCell="1" allowOverlap="1">
            <wp:simplePos x="0" y="0"/>
            <wp:positionH relativeFrom="column">
              <wp:posOffset>0</wp:posOffset>
            </wp:positionH>
            <wp:positionV relativeFrom="paragraph">
              <wp:posOffset>67945</wp:posOffset>
            </wp:positionV>
            <wp:extent cx="3075940" cy="2073275"/>
            <wp:effectExtent l="0" t="0" r="10160" b="3175"/>
            <wp:wrapTopAndBottom/>
            <wp:docPr id="17" name="Picture 17" descr="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ode_death_comparison"/>
                    <pic:cNvPicPr>
                      <a:picLocks noChangeAspect="1"/>
                    </pic:cNvPicPr>
                  </pic:nvPicPr>
                  <pic:blipFill>
                    <a:blip r:embed="rId19"/>
                    <a:stretch>
                      <a:fillRect/>
                    </a:stretch>
                  </pic:blipFill>
                  <pic:spPr>
                    <a:xfrm>
                      <a:off x="0" y="0"/>
                      <a:ext cx="3075940" cy="2073275"/>
                    </a:xfrm>
                    <a:prstGeom prst="rect">
                      <a:avLst/>
                    </a:prstGeom>
                  </pic:spPr>
                </pic:pic>
              </a:graphicData>
            </a:graphic>
          </wp:anchor>
        </w:drawing>
      </w:r>
      <w:r>
        <w:rPr>
          <w:rFonts w:hint="default"/>
          <w:sz w:val="16"/>
          <w:szCs w:val="16"/>
          <w:lang w:val="en-US"/>
        </w:rPr>
        <w:t>Figure 9. Number of dead nodes in each rounds of simulation</w:t>
      </w:r>
    </w:p>
    <w:p w14:paraId="5B160693">
      <w:pPr>
        <w:bidi w:val="0"/>
        <w:jc w:val="center"/>
        <w:rPr>
          <w:rFonts w:hint="default"/>
          <w:sz w:val="16"/>
          <w:szCs w:val="16"/>
          <w:lang w:val="en-US"/>
        </w:rPr>
      </w:pPr>
    </w:p>
    <w:p w14:paraId="1CCE8737">
      <w:pPr>
        <w:bidi w:val="0"/>
        <w:jc w:val="both"/>
        <w:rPr>
          <w:rFonts w:hint="default"/>
          <w:lang w:val="en-US"/>
        </w:rPr>
      </w:pPr>
      <w:r>
        <w:rPr>
          <w:rFonts w:hint="default"/>
          <w:lang w:val="en-US"/>
        </w:rPr>
        <w:t>Figure 9 shows the progression of node deaths over simulation rounds for different clustering protocols. A clear performance gap is observed across the protocols. LEACH and DEEC show the worst outcomes, with 138/150 and 142/150 nodes dead respectively, indicating rapid energy depletion and poor network sustainability. Metaheuristic approaches improve this significantly, PSO 108/150 and FCM 107/150 reduce node deaths moderately, while ACO performs better with 94/150 dead nodes. The proposed RLHC approaches outperform all others by a large margin. RLHC (Centralized) records the lowest node deaths at 55/150, followed by RLHC (Federated) at 62/150, demonstrating superior energy efficiency and prolonged network lifetime.</w:t>
      </w:r>
    </w:p>
    <w:p w14:paraId="33DA5638">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lang w:val="en-US"/>
        </w:rPr>
        <w:drawing>
          <wp:anchor distT="0" distB="0" distL="114300" distR="114300" simplePos="0" relativeHeight="251670528" behindDoc="0" locked="0" layoutInCell="1" allowOverlap="1">
            <wp:simplePos x="0" y="0"/>
            <wp:positionH relativeFrom="column">
              <wp:posOffset>0</wp:posOffset>
            </wp:positionH>
            <wp:positionV relativeFrom="paragraph">
              <wp:posOffset>116205</wp:posOffset>
            </wp:positionV>
            <wp:extent cx="3075305" cy="1901190"/>
            <wp:effectExtent l="0" t="0" r="10795" b="3810"/>
            <wp:wrapTopAndBottom/>
            <wp:docPr id="18" name="Picture 18" descr="e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energy_consumption_comparison"/>
                    <pic:cNvPicPr>
                      <a:picLocks noChangeAspect="1"/>
                    </pic:cNvPicPr>
                  </pic:nvPicPr>
                  <pic:blipFill>
                    <a:blip r:embed="rId20"/>
                    <a:stretch>
                      <a:fillRect/>
                    </a:stretch>
                  </pic:blipFill>
                  <pic:spPr>
                    <a:xfrm>
                      <a:off x="0" y="0"/>
                      <a:ext cx="3075305" cy="1901190"/>
                    </a:xfrm>
                    <a:prstGeom prst="rect">
                      <a:avLst/>
                    </a:prstGeom>
                  </pic:spPr>
                </pic:pic>
              </a:graphicData>
            </a:graphic>
          </wp:anchor>
        </w:drawing>
      </w:r>
      <w:r>
        <w:rPr>
          <w:rFonts w:hint="default"/>
          <w:sz w:val="16"/>
          <w:szCs w:val="16"/>
          <w:lang w:val="en-US"/>
        </w:rPr>
        <w:t>Figure 10. Total energy consumption in each rounds of simulation</w:t>
      </w:r>
    </w:p>
    <w:p w14:paraId="709447B7">
      <w:pPr>
        <w:bidi w:val="0"/>
        <w:jc w:val="center"/>
        <w:rPr>
          <w:rFonts w:hint="default"/>
          <w:sz w:val="16"/>
          <w:szCs w:val="16"/>
          <w:lang w:val="en-US"/>
        </w:rPr>
      </w:pPr>
    </w:p>
    <w:p w14:paraId="5F5DCE11">
      <w:pPr>
        <w:bidi w:val="0"/>
        <w:jc w:val="both"/>
        <w:rPr>
          <w:rFonts w:hint="default"/>
          <w:lang w:val="en-US"/>
        </w:rPr>
      </w:pPr>
      <w:r>
        <w:rPr>
          <w:rFonts w:hint="default"/>
          <w:lang w:val="en-US"/>
        </w:rPr>
        <w:t>Figure 10 represents the total energy consumption of different clustering protocols after 1000 simulation rounds. It highlights a clear variation in energy efficiency across methods. LEACH and DEEC exhibit the highest energy consumption, utilizing 297 J and 295 J out of the available 300 J, indicating inefficient energy utilization and rapid depletion of network resources. In contrast, optimization-based approaches such as PSO (251 J), FCM (240 J) and ACO (220 J) demonstrate improved energy efficiency by reducing overall consumption. Notably, the proposed RLHC approaches achieve the best performance, with RLHC (Centralized) consuming the least energy at 197 J, followed by RLHC (Federated) at 214 J. This indicates that RLHC significantly enhances energy conservation, contributing to prolonged network lifetime and improved stability.</w:t>
      </w:r>
    </w:p>
    <w:p w14:paraId="4580F4DA">
      <w:pPr>
        <w:bidi w:val="0"/>
        <w:jc w:val="both"/>
        <w:rPr>
          <w:rFonts w:hint="default"/>
          <w:lang w:val="en-US"/>
        </w:rPr>
      </w:pPr>
    </w:p>
    <w:p w14:paraId="23C98FF4">
      <w:pPr>
        <w:bidi w:val="0"/>
        <w:jc w:val="both"/>
        <w:rPr>
          <w:rFonts w:hint="default"/>
          <w:lang w:val="en-US"/>
        </w:rPr>
      </w:pPr>
      <w:r>
        <w:rPr>
          <w:rFonts w:hint="default"/>
          <w:lang w:val="en-US"/>
        </w:rPr>
        <w:drawing>
          <wp:inline distT="0" distB="0" distL="114300" distR="114300">
            <wp:extent cx="3074670" cy="1996440"/>
            <wp:effectExtent l="0" t="0" r="11430" b="3810"/>
            <wp:docPr id="20" name="Picture 20" descr="cumulative_throughput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umulative_throughput_comparison"/>
                    <pic:cNvPicPr>
                      <a:picLocks noChangeAspect="1"/>
                    </pic:cNvPicPr>
                  </pic:nvPicPr>
                  <pic:blipFill>
                    <a:blip r:embed="rId21"/>
                    <a:stretch>
                      <a:fillRect/>
                    </a:stretch>
                  </pic:blipFill>
                  <pic:spPr>
                    <a:xfrm>
                      <a:off x="0" y="0"/>
                      <a:ext cx="3074670" cy="1996440"/>
                    </a:xfrm>
                    <a:prstGeom prst="rect">
                      <a:avLst/>
                    </a:prstGeom>
                  </pic:spPr>
                </pic:pic>
              </a:graphicData>
            </a:graphic>
          </wp:inline>
        </w:drawing>
      </w:r>
    </w:p>
    <w:p w14:paraId="4319E7FD">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11. Cumulative throughput in each rounds of simulation</w:t>
      </w:r>
    </w:p>
    <w:p w14:paraId="23EFAEF0">
      <w:pPr>
        <w:bidi w:val="0"/>
        <w:jc w:val="both"/>
        <w:rPr>
          <w:rFonts w:hint="default"/>
          <w:lang w:val="en-US"/>
        </w:rPr>
      </w:pPr>
    </w:p>
    <w:p w14:paraId="7F1F7D14">
      <w:pPr>
        <w:bidi w:val="0"/>
        <w:jc w:val="both"/>
        <w:rPr>
          <w:rFonts w:hint="default"/>
          <w:lang w:val="en-US"/>
        </w:rPr>
      </w:pPr>
      <w:r>
        <w:rPr>
          <w:rFonts w:hint="default"/>
          <w:lang w:val="en-US"/>
        </w:rPr>
        <w:t>Figure 11 compares throughput across clustering protocols after 1000 rounds. LEACH and DEEC show the lowest performance (22 and 38 kbps) due to high energy consumption and node deaths. PSO, FCM and ACO achieve moderate throughput (~77–81 kbps) whereas RLHC methods outperform all, with RLHC (Centralized) reaching 133 kbps and RLHC (Federated) 118 kbps, due to better energy efficiency, fewer dead nodes and full sector survivability.</w:t>
      </w:r>
    </w:p>
    <w:p w14:paraId="565CB78F">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0</wp:posOffset>
            </wp:positionH>
            <wp:positionV relativeFrom="paragraph">
              <wp:posOffset>90170</wp:posOffset>
            </wp:positionV>
            <wp:extent cx="3075305" cy="3698240"/>
            <wp:effectExtent l="0" t="0" r="10795" b="16510"/>
            <wp:wrapTopAndBottom/>
            <wp:docPr id="23" name="Picture 23" descr="pd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dr_comparison"/>
                    <pic:cNvPicPr>
                      <a:picLocks noChangeAspect="1"/>
                    </pic:cNvPicPr>
                  </pic:nvPicPr>
                  <pic:blipFill>
                    <a:blip r:embed="rId22"/>
                    <a:stretch>
                      <a:fillRect/>
                    </a:stretch>
                  </pic:blipFill>
                  <pic:spPr>
                    <a:xfrm>
                      <a:off x="0" y="0"/>
                      <a:ext cx="3075305" cy="3698240"/>
                    </a:xfrm>
                    <a:prstGeom prst="rect">
                      <a:avLst/>
                    </a:prstGeom>
                  </pic:spPr>
                </pic:pic>
              </a:graphicData>
            </a:graphic>
          </wp:anchor>
        </w:drawing>
      </w:r>
      <w:r>
        <w:rPr>
          <w:rFonts w:hint="default"/>
          <w:sz w:val="16"/>
          <w:szCs w:val="16"/>
          <w:lang w:val="en-US"/>
        </w:rPr>
        <w:t>Figure 12. Avg. Packet delivery ratio after 1000 rounds of simulation</w:t>
      </w:r>
    </w:p>
    <w:p w14:paraId="0B312E61">
      <w:pPr>
        <w:bidi w:val="0"/>
        <w:jc w:val="both"/>
        <w:rPr>
          <w:rFonts w:hint="default"/>
          <w:lang w:val="en-US"/>
        </w:rPr>
      </w:pPr>
    </w:p>
    <w:p w14:paraId="2C9406C4">
      <w:pPr>
        <w:bidi w:val="0"/>
        <w:jc w:val="both"/>
        <w:rPr>
          <w:rFonts w:hint="default"/>
          <w:lang w:val="en-US"/>
        </w:rPr>
      </w:pPr>
      <w:r>
        <w:rPr>
          <w:rFonts w:hint="default"/>
          <w:lang w:val="en-US"/>
        </w:rPr>
        <w:t>Figure 12 represents the average Packet Delivery Ratio (PDR) of different protocols, indicating overall communication reliability. All methods achieve high PDR values (&gt;99%), showing stable packet transmission. However, RLHC (Federated) achieves the highest PDR at 99.95%, followed by RLHC (Centralized) at 99.92%, indicating superior reliability. ACO also performs well (99.86%), while FCM shows slightly lower performance (99.52%). LEACH, DEEC and PSO maintain comparable performance around 99.71 to 99.74%, but remain slightly below the proposed methods.</w:t>
      </w:r>
    </w:p>
    <w:p w14:paraId="5AD64C19">
      <w:pPr>
        <w:bidi w:val="0"/>
        <w:ind w:firstLine="400" w:firstLineChars="200"/>
        <w:jc w:val="both"/>
        <w:rPr>
          <w:rFonts w:hint="default"/>
          <w:lang w:val="en-US"/>
        </w:rPr>
      </w:pPr>
      <w:r>
        <w:rPr>
          <w:rFonts w:hint="default"/>
          <w:lang w:val="en-US"/>
        </w:rPr>
        <w:t>At this stage, it is evident that RLHC outperforms all other protocols across key performance metrics. To further differentiate between the two RLHC variants, the simulation is extended until 90% of the nodes are depleted/dead. This extended evaluation enables a more rigorous comparison of RLHC (Centralized) and RLHC (Federated), allowing us to determine which approach sustains performance more effectively under extreme network degradation conditions.</w:t>
      </w:r>
    </w:p>
    <w:p w14:paraId="4F2F7831">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2576" behindDoc="0" locked="0" layoutInCell="1" allowOverlap="1">
            <wp:simplePos x="0" y="0"/>
            <wp:positionH relativeFrom="column">
              <wp:posOffset>-17145</wp:posOffset>
            </wp:positionH>
            <wp:positionV relativeFrom="paragraph">
              <wp:posOffset>82550</wp:posOffset>
            </wp:positionV>
            <wp:extent cx="3075940" cy="2073275"/>
            <wp:effectExtent l="0" t="0" r="10160" b="3175"/>
            <wp:wrapTopAndBottom/>
            <wp:docPr id="24" name="Picture 24" descr="cen_fed_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en_fed_node_death_comparison"/>
                    <pic:cNvPicPr>
                      <a:picLocks noChangeAspect="1"/>
                    </pic:cNvPicPr>
                  </pic:nvPicPr>
                  <pic:blipFill>
                    <a:blip r:embed="rId23"/>
                    <a:stretch>
                      <a:fillRect/>
                    </a:stretch>
                  </pic:blipFill>
                  <pic:spPr>
                    <a:xfrm>
                      <a:off x="0" y="0"/>
                      <a:ext cx="3075940" cy="2073275"/>
                    </a:xfrm>
                    <a:prstGeom prst="rect">
                      <a:avLst/>
                    </a:prstGeom>
                  </pic:spPr>
                </pic:pic>
              </a:graphicData>
            </a:graphic>
          </wp:anchor>
        </w:drawing>
      </w:r>
      <w:r>
        <w:rPr>
          <w:rFonts w:hint="default"/>
          <w:sz w:val="16"/>
          <w:szCs w:val="16"/>
          <w:lang w:val="en-US"/>
        </w:rPr>
        <w:t>Figure 12. Number of node death after 4000 rounds of simulation</w:t>
      </w:r>
    </w:p>
    <w:p w14:paraId="20F4956D">
      <w:pPr>
        <w:bidi w:val="0"/>
        <w:jc w:val="both"/>
        <w:rPr>
          <w:rFonts w:hint="default"/>
          <w:lang w:val="en-US"/>
        </w:rPr>
      </w:pPr>
    </w:p>
    <w:p w14:paraId="612F45CF">
      <w:pPr>
        <w:bidi w:val="0"/>
        <w:jc w:val="both"/>
        <w:rPr>
          <w:rFonts w:hint="default"/>
          <w:lang w:val="en-US"/>
        </w:rPr>
      </w:pPr>
      <w:r>
        <w:rPr>
          <w:rFonts w:hint="default"/>
          <w:lang w:val="en-US"/>
        </w:rPr>
        <w:t>Figure 12 represents the performance comparison of RLHC (Centralized) and RLHC (Federated) extended up to 4000 simulation rounds, under severe network degradation(&gt;90% node died). RLHC (Federated) demonstrates better robustness, with 3/9 sectors surviving and fewer dead nodes (130/150) compared to RLHC (Centralized), which retains only 1/9 sector with 140/150 dead nodes. Additionally it consumes less energy (286 J vs. 297 J) which is evident in the figure 13.</w:t>
      </w:r>
    </w:p>
    <w:p w14:paraId="1A393A53">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3600" behindDoc="0" locked="0" layoutInCell="1" allowOverlap="1">
            <wp:simplePos x="0" y="0"/>
            <wp:positionH relativeFrom="column">
              <wp:posOffset>3394075</wp:posOffset>
            </wp:positionH>
            <wp:positionV relativeFrom="paragraph">
              <wp:posOffset>-4916170</wp:posOffset>
            </wp:positionV>
            <wp:extent cx="3075305" cy="1901190"/>
            <wp:effectExtent l="0" t="0" r="10795" b="3810"/>
            <wp:wrapTopAndBottom/>
            <wp:docPr id="27" name="Picture 27" descr="cen_fed_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en_fed_nergy_consumption_comparison"/>
                    <pic:cNvPicPr>
                      <a:picLocks noChangeAspect="1"/>
                    </pic:cNvPicPr>
                  </pic:nvPicPr>
                  <pic:blipFill>
                    <a:blip r:embed="rId24"/>
                    <a:stretch>
                      <a:fillRect/>
                    </a:stretch>
                  </pic:blipFill>
                  <pic:spPr>
                    <a:xfrm>
                      <a:off x="0" y="0"/>
                      <a:ext cx="3075305" cy="1901190"/>
                    </a:xfrm>
                    <a:prstGeom prst="rect">
                      <a:avLst/>
                    </a:prstGeom>
                  </pic:spPr>
                </pic:pic>
              </a:graphicData>
            </a:graphic>
          </wp:anchor>
        </w:drawing>
      </w:r>
      <w:r>
        <w:rPr>
          <w:rFonts w:hint="default"/>
          <w:sz w:val="16"/>
          <w:szCs w:val="16"/>
          <w:lang w:val="en-US"/>
        </w:rPr>
        <w:t>Figure 13. Total energy consumption after 4000 rounds of simulation</w:t>
      </w:r>
    </w:p>
    <w:p w14:paraId="633C33C7">
      <w:pPr>
        <w:bidi w:val="0"/>
        <w:jc w:val="both"/>
        <w:rPr>
          <w:rFonts w:hint="default"/>
          <w:lang w:val="en-US"/>
        </w:rPr>
      </w:pPr>
    </w:p>
    <w:p w14:paraId="106B4C11">
      <w:pPr>
        <w:bidi w:val="0"/>
        <w:jc w:val="both"/>
        <w:rPr>
          <w:rFonts w:hint="default"/>
          <w:lang w:val="en-US"/>
        </w:rPr>
      </w:pPr>
      <w:r>
        <w:rPr>
          <w:rFonts w:hint="default"/>
          <w:lang w:val="en-US"/>
        </w:rPr>
        <w:t>The results show that RLHC outperforms all other protocols at 1000 rounds, achieving maximum sector survivability, lowest energy consumption, fewer dead nodes and highest throughput with excellent PDR. However, at 4000 rounds under severe network degradation, RLHC (Federated) proves more robust, maintaining more surviving sectors, lower energy usage and higher reliability, while RLHC (Centralized) offers slightly higher throughput but degrades faster. Overall, Federated RLHC is better suited for long-term network sustainability.</w:t>
      </w:r>
    </w:p>
    <w:p w14:paraId="496537C4">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520DB562">
      <w:pPr>
        <w:bidi w:val="0"/>
        <w:jc w:val="both"/>
        <w:rPr>
          <w:rFonts w:hint="default"/>
          <w:lang w:val="en-US"/>
        </w:rPr>
      </w:pPr>
    </w:p>
    <w:p w14:paraId="681681F7">
      <w:pPr>
        <w:bidi w:val="0"/>
        <w:jc w:val="both"/>
        <w:rPr>
          <w:rFonts w:hint="default"/>
          <w:i w:val="0"/>
          <w:iCs w:val="0"/>
          <w:sz w:val="20"/>
          <w:szCs w:val="20"/>
          <w:lang w:val="en-US"/>
        </w:rPr>
        <w:sectPr>
          <w:type w:val="continuous"/>
          <w:pgSz w:w="11906" w:h="16838"/>
          <w:pgMar w:top="1080" w:right="893" w:bottom="1080" w:left="893" w:header="720" w:footer="720" w:gutter="0"/>
          <w:cols w:space="425" w:num="1"/>
          <w:docGrid w:linePitch="360" w:charSpace="0"/>
        </w:sect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Table 3:</w:t>
      </w:r>
      <w:r>
        <w:rPr>
          <w:rFonts w:hint="default"/>
          <w:b w:val="0"/>
          <w:bCs w:val="0"/>
          <w:sz w:val="20"/>
          <w:szCs w:val="20"/>
          <w:lang w:val="en-US"/>
        </w:rPr>
        <w:t xml:space="preserve"> Summary of performance after 1000 rounds of simulation</w:t>
      </w:r>
    </w:p>
    <w:p w14:paraId="1BCA7EF1">
      <w:pPr>
        <w:pStyle w:val="9"/>
        <w:numPr>
          <w:ilvl w:val="0"/>
          <w:numId w:val="0"/>
        </w:numPr>
        <w:bidi w:val="0"/>
        <w:ind w:leftChars="0"/>
        <w:rPr>
          <w:rFonts w:hint="default"/>
          <w:lang w:val="en-US"/>
        </w:rPr>
      </w:pPr>
    </w:p>
    <w:tbl>
      <w:tblPr>
        <w:tblStyle w:val="17"/>
        <w:tblpPr w:leftFromText="180" w:rightFromText="180" w:vertAnchor="page" w:horzAnchor="page" w:tblpX="1037" w:tblpY="9424"/>
        <w:tblOverlap w:val="never"/>
        <w:tblW w:w="100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6"/>
        <w:gridCol w:w="1675"/>
        <w:gridCol w:w="1450"/>
        <w:gridCol w:w="1750"/>
        <w:gridCol w:w="1737"/>
        <w:gridCol w:w="1413"/>
      </w:tblGrid>
      <w:tr w14:paraId="2DC15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BEBEBE" w:themeFill="background1" w:themeFillShade="BF"/>
          </w:tcPr>
          <w:p w14:paraId="71890F9F">
            <w:pPr>
              <w:keepNext w:val="0"/>
              <w:keepLines w:val="0"/>
              <w:widowControl/>
              <w:suppressLineNumbers w:val="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cs="Times New Roman"/>
                <w:color w:val="auto"/>
                <w:kern w:val="0"/>
                <w:sz w:val="20"/>
                <w:szCs w:val="20"/>
                <w:vertAlign w:val="baseline"/>
                <w:lang w:val="en-US" w:eastAsia="zh-CN" w:bidi="ar"/>
              </w:rPr>
              <w:t>Method</w:t>
            </w:r>
          </w:p>
        </w:tc>
        <w:tc>
          <w:tcPr>
            <w:tcW w:w="1675" w:type="dxa"/>
            <w:shd w:val="clear" w:color="auto" w:fill="BEBEBE" w:themeFill="background1" w:themeFillShade="BF"/>
            <w:vAlign w:val="top"/>
          </w:tcPr>
          <w:p w14:paraId="5EAEEBF9">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Sector Survived</w:t>
            </w:r>
          </w:p>
        </w:tc>
        <w:tc>
          <w:tcPr>
            <w:tcW w:w="1450" w:type="dxa"/>
            <w:shd w:val="clear" w:color="auto" w:fill="BEBEBE" w:themeFill="background1" w:themeFillShade="BF"/>
            <w:vAlign w:val="top"/>
          </w:tcPr>
          <w:p w14:paraId="0547F1BE">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No.dead nodes</w:t>
            </w:r>
          </w:p>
        </w:tc>
        <w:tc>
          <w:tcPr>
            <w:tcW w:w="1750" w:type="dxa"/>
            <w:shd w:val="clear" w:color="auto" w:fill="BEBEBE" w:themeFill="background1" w:themeFillShade="BF"/>
            <w:vAlign w:val="top"/>
          </w:tcPr>
          <w:p w14:paraId="6A755EBD">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Energy Usage (J)</w:t>
            </w:r>
          </w:p>
        </w:tc>
        <w:tc>
          <w:tcPr>
            <w:tcW w:w="1737" w:type="dxa"/>
            <w:shd w:val="clear" w:color="auto" w:fill="BEBEBE" w:themeFill="background1" w:themeFillShade="BF"/>
            <w:vAlign w:val="top"/>
          </w:tcPr>
          <w:p w14:paraId="690CD8D8">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Throughput (kbps)</w:t>
            </w:r>
          </w:p>
        </w:tc>
        <w:tc>
          <w:tcPr>
            <w:tcW w:w="1413" w:type="dxa"/>
            <w:shd w:val="clear" w:color="auto" w:fill="BEBEBE" w:themeFill="background1" w:themeFillShade="BF"/>
            <w:vAlign w:val="top"/>
          </w:tcPr>
          <w:p w14:paraId="5FA6281F">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Avg PDR (%)</w:t>
            </w:r>
          </w:p>
        </w:tc>
      </w:tr>
      <w:tr w14:paraId="4F860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187209CD">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LEACH</w:t>
            </w:r>
          </w:p>
        </w:tc>
        <w:tc>
          <w:tcPr>
            <w:tcW w:w="1675" w:type="dxa"/>
            <w:vAlign w:val="top"/>
          </w:tcPr>
          <w:p w14:paraId="439B685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w:t>
            </w:r>
          </w:p>
        </w:tc>
        <w:tc>
          <w:tcPr>
            <w:tcW w:w="1450" w:type="dxa"/>
            <w:vAlign w:val="top"/>
          </w:tcPr>
          <w:p w14:paraId="309CD8C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138/150</w:t>
            </w:r>
          </w:p>
        </w:tc>
        <w:tc>
          <w:tcPr>
            <w:tcW w:w="1750" w:type="dxa"/>
            <w:vAlign w:val="top"/>
          </w:tcPr>
          <w:p w14:paraId="681DB68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297/300</w:t>
            </w:r>
          </w:p>
        </w:tc>
        <w:tc>
          <w:tcPr>
            <w:tcW w:w="1737" w:type="dxa"/>
            <w:vAlign w:val="top"/>
          </w:tcPr>
          <w:p w14:paraId="7CA957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w:t>
            </w:r>
          </w:p>
        </w:tc>
        <w:tc>
          <w:tcPr>
            <w:tcW w:w="1413" w:type="dxa"/>
            <w:vAlign w:val="top"/>
          </w:tcPr>
          <w:p w14:paraId="238DFF8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4370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24E7E3">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DEEC</w:t>
            </w:r>
          </w:p>
        </w:tc>
        <w:tc>
          <w:tcPr>
            <w:tcW w:w="1675" w:type="dxa"/>
            <w:vAlign w:val="top"/>
          </w:tcPr>
          <w:p w14:paraId="5DCFE47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3/9</w:t>
            </w:r>
          </w:p>
        </w:tc>
        <w:tc>
          <w:tcPr>
            <w:tcW w:w="1450" w:type="dxa"/>
            <w:vAlign w:val="top"/>
          </w:tcPr>
          <w:p w14:paraId="455C11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142/150</w:t>
            </w:r>
          </w:p>
        </w:tc>
        <w:tc>
          <w:tcPr>
            <w:tcW w:w="1750" w:type="dxa"/>
            <w:vAlign w:val="top"/>
          </w:tcPr>
          <w:p w14:paraId="1ED9BB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295/300</w:t>
            </w:r>
          </w:p>
        </w:tc>
        <w:tc>
          <w:tcPr>
            <w:tcW w:w="1737" w:type="dxa"/>
            <w:vAlign w:val="top"/>
          </w:tcPr>
          <w:p w14:paraId="1BE4BF8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38</w:t>
            </w:r>
          </w:p>
        </w:tc>
        <w:tc>
          <w:tcPr>
            <w:tcW w:w="1413" w:type="dxa"/>
            <w:vAlign w:val="top"/>
          </w:tcPr>
          <w:p w14:paraId="330C2E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99.71</w:t>
            </w:r>
          </w:p>
        </w:tc>
      </w:tr>
      <w:tr w14:paraId="2CBC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8F9A2A">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PSO</w:t>
            </w:r>
          </w:p>
        </w:tc>
        <w:tc>
          <w:tcPr>
            <w:tcW w:w="1675" w:type="dxa"/>
            <w:vAlign w:val="top"/>
          </w:tcPr>
          <w:p w14:paraId="62ACA9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60A0CD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108/150</w:t>
            </w:r>
          </w:p>
        </w:tc>
        <w:tc>
          <w:tcPr>
            <w:tcW w:w="1750" w:type="dxa"/>
            <w:vAlign w:val="top"/>
          </w:tcPr>
          <w:p w14:paraId="413D44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251/300</w:t>
            </w:r>
          </w:p>
        </w:tc>
        <w:tc>
          <w:tcPr>
            <w:tcW w:w="1737" w:type="dxa"/>
            <w:vAlign w:val="top"/>
          </w:tcPr>
          <w:p w14:paraId="4FBB558B">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81</w:t>
            </w:r>
          </w:p>
        </w:tc>
        <w:tc>
          <w:tcPr>
            <w:tcW w:w="1413" w:type="dxa"/>
            <w:vAlign w:val="top"/>
          </w:tcPr>
          <w:p w14:paraId="66A36EB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57EC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7A886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ACO</w:t>
            </w:r>
          </w:p>
        </w:tc>
        <w:tc>
          <w:tcPr>
            <w:tcW w:w="1675" w:type="dxa"/>
            <w:vAlign w:val="top"/>
          </w:tcPr>
          <w:p w14:paraId="092B2C1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5951385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94/150</w:t>
            </w:r>
          </w:p>
        </w:tc>
        <w:tc>
          <w:tcPr>
            <w:tcW w:w="1750" w:type="dxa"/>
            <w:vAlign w:val="top"/>
          </w:tcPr>
          <w:p w14:paraId="7C9F4B1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220/300</w:t>
            </w:r>
          </w:p>
        </w:tc>
        <w:tc>
          <w:tcPr>
            <w:tcW w:w="1737" w:type="dxa"/>
            <w:vAlign w:val="top"/>
          </w:tcPr>
          <w:p w14:paraId="7B48737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77</w:t>
            </w:r>
          </w:p>
        </w:tc>
        <w:tc>
          <w:tcPr>
            <w:tcW w:w="1413" w:type="dxa"/>
            <w:vAlign w:val="top"/>
          </w:tcPr>
          <w:p w14:paraId="196D6D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99.86</w:t>
            </w:r>
          </w:p>
        </w:tc>
      </w:tr>
      <w:tr w14:paraId="3226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51EBABB">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FCM</w:t>
            </w:r>
          </w:p>
        </w:tc>
        <w:tc>
          <w:tcPr>
            <w:tcW w:w="1675" w:type="dxa"/>
            <w:vAlign w:val="top"/>
          </w:tcPr>
          <w:p w14:paraId="2BEDA38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7/9</w:t>
            </w:r>
          </w:p>
        </w:tc>
        <w:tc>
          <w:tcPr>
            <w:tcW w:w="1450" w:type="dxa"/>
            <w:vAlign w:val="top"/>
          </w:tcPr>
          <w:p w14:paraId="79DCD1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107/150</w:t>
            </w:r>
          </w:p>
        </w:tc>
        <w:tc>
          <w:tcPr>
            <w:tcW w:w="1750" w:type="dxa"/>
            <w:vAlign w:val="top"/>
          </w:tcPr>
          <w:p w14:paraId="6E52524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240/300</w:t>
            </w:r>
          </w:p>
        </w:tc>
        <w:tc>
          <w:tcPr>
            <w:tcW w:w="1737" w:type="dxa"/>
            <w:vAlign w:val="top"/>
          </w:tcPr>
          <w:p w14:paraId="41BC391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80</w:t>
            </w:r>
          </w:p>
        </w:tc>
        <w:tc>
          <w:tcPr>
            <w:tcW w:w="1413" w:type="dxa"/>
            <w:vAlign w:val="top"/>
          </w:tcPr>
          <w:p w14:paraId="325D2DF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99.52</w:t>
            </w:r>
          </w:p>
        </w:tc>
      </w:tr>
      <w:tr w14:paraId="3563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C8FD65">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(Centralized)</w:t>
            </w:r>
          </w:p>
        </w:tc>
        <w:tc>
          <w:tcPr>
            <w:tcW w:w="1675" w:type="dxa"/>
            <w:vAlign w:val="top"/>
          </w:tcPr>
          <w:p w14:paraId="544C4E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507AA124">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55/150</w:t>
            </w:r>
          </w:p>
        </w:tc>
        <w:tc>
          <w:tcPr>
            <w:tcW w:w="1750" w:type="dxa"/>
            <w:vAlign w:val="top"/>
          </w:tcPr>
          <w:p w14:paraId="47234D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197/300</w:t>
            </w:r>
          </w:p>
        </w:tc>
        <w:tc>
          <w:tcPr>
            <w:tcW w:w="1737" w:type="dxa"/>
            <w:vAlign w:val="top"/>
          </w:tcPr>
          <w:p w14:paraId="40AF5C63">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133</w:t>
            </w:r>
          </w:p>
        </w:tc>
        <w:tc>
          <w:tcPr>
            <w:tcW w:w="1413" w:type="dxa"/>
            <w:vAlign w:val="top"/>
          </w:tcPr>
          <w:p w14:paraId="3CCE9F0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99.92</w:t>
            </w:r>
          </w:p>
        </w:tc>
      </w:tr>
      <w:tr w14:paraId="0101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23B5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(Federated)</w:t>
            </w:r>
          </w:p>
        </w:tc>
        <w:tc>
          <w:tcPr>
            <w:tcW w:w="1675" w:type="dxa"/>
            <w:vAlign w:val="top"/>
          </w:tcPr>
          <w:p w14:paraId="106476A6">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0E407F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62/150</w:t>
            </w:r>
          </w:p>
        </w:tc>
        <w:tc>
          <w:tcPr>
            <w:tcW w:w="1750" w:type="dxa"/>
            <w:vAlign w:val="top"/>
          </w:tcPr>
          <w:p w14:paraId="08F741F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214/300</w:t>
            </w:r>
          </w:p>
        </w:tc>
        <w:tc>
          <w:tcPr>
            <w:tcW w:w="1737" w:type="dxa"/>
            <w:vAlign w:val="top"/>
          </w:tcPr>
          <w:p w14:paraId="0E3ABFD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118</w:t>
            </w:r>
          </w:p>
        </w:tc>
        <w:tc>
          <w:tcPr>
            <w:tcW w:w="1413" w:type="dxa"/>
            <w:vAlign w:val="top"/>
          </w:tcPr>
          <w:p w14:paraId="0A8148F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99.95</w:t>
            </w:r>
          </w:p>
        </w:tc>
      </w:tr>
    </w:tbl>
    <w:p w14:paraId="6194E518">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every important performance metric and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1C13BBDB">
      <w:pPr>
        <w:bidi w:val="0"/>
        <w:jc w:val="both"/>
        <w:rPr>
          <w:rFonts w:hint="default"/>
          <w:lang w:val="en-US"/>
        </w:rPr>
      </w:pPr>
      <w:r>
        <w:rPr>
          <w:rFonts w:hint="default"/>
          <w:b w:val="0"/>
          <w:bCs w:val="0"/>
          <w:lang w:val="en-US"/>
        </w:rPr>
        <w:t xml:space="preserve">In this study, two variants of the RLHC framework Centralized and Federated are proposed to incorporate adaptive intelligence for enhancing energy efficiency and network lifetime in heterogeneous WSNs for Agri-IoT applications. </w:t>
      </w:r>
      <w:r>
        <w:rPr>
          <w:rFonts w:hint="default"/>
          <w:lang w:val="en-US"/>
        </w:rPr>
        <w:t>Simulation results clearly demonstrate that RLHC achieves unmatched performance, being the only method with 9/9 sector survivability at 1000 rounds. It improves network lifetime by +57% over LEACH/DEEC and +45% over PSO/ACO/FCM, while reducing energy consumption by +33% and +16%, respectively. It also delivers significantly higher throughput (+240% vs. LEACH/DEEC, +50% vs. others) with consistently high PDR. Under extended conditions, Federated RLHC proves more robust, sustaining more sectors (3 vs. 1), achieving 8% longer lifetime and 3.5% better energy efficiency as compared to centralized RLHC . Overall, Federated RLHC provides the best balance of stability, efficiency and reliability.</w:t>
      </w:r>
    </w:p>
    <w:p w14:paraId="1E278D84">
      <w:pPr>
        <w:bidi w:val="0"/>
        <w:ind w:firstLine="400" w:firstLineChars="200"/>
        <w:jc w:val="both"/>
        <w:rPr>
          <w:rFonts w:hint="default"/>
          <w:b w:val="0"/>
          <w:bCs w:val="0"/>
          <w:lang w:val="en-US"/>
        </w:rPr>
      </w:pPr>
      <w:r>
        <w:rPr>
          <w:rFonts w:hint="default"/>
          <w:lang w:val="en-US"/>
        </w:rPr>
        <w:t>Future work will focus on incorporating a trust-aware mechanism to identify and filter out malicious or energy draining faulty nodes, thereby enhancing overall system robustness.</w:t>
      </w:r>
    </w:p>
    <w:p w14:paraId="51112065">
      <w:pPr>
        <w:pStyle w:val="9"/>
        <w:numPr>
          <w:ilvl w:val="0"/>
          <w:numId w:val="0"/>
        </w:numPr>
        <w:bidi w:val="0"/>
        <w:ind w:left="288" w:leftChars="0"/>
        <w:jc w:val="center"/>
        <w:rPr>
          <w:rFonts w:hint="default"/>
          <w:b/>
          <w:bCs/>
          <w:lang w:val="en-US"/>
        </w:rPr>
      </w:pP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O. Olayemi, A. Bello, and M. A. Oladejo, “MLSRP: Machine Learning-Based Secure Routing Protocol for Wireless Sensor Networks,” IEEE Internet of Things Journal, vol. 12, no. 5, pp. 4567–4580, 2025..</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R. Veluswamy, “Trust-Aware Secure Energy-Efficient Routing Protocol Using Two-Tier Optimization,” Ad Hoc Networks, vol. 156, pp. 103–118, 2026.H.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3A5F760C">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Ahmed, M. A. Khan, and F. Ullah, “A Comprehensive Survey of Routing Protocols for Underwater Wireless Sensor Networks,” IEEE Communications Surveys &amp; Tutorials, vol. 28, no. 1, pp. 1–25, 2026.</w:t>
      </w:r>
    </w:p>
    <w:p w14:paraId="1061E089">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Hartono, D. Setiawan, and A. Nugroho, “Metaheuristic Approaches for Energy Optimization in WSN: A Systematic Review,” IEEE Access, vol. 14, pp. 22015–22040, 2026</w:t>
      </w:r>
    </w:p>
    <w:p w14:paraId="6315DCE8">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P. Gawade, S. Patil, and M. Kulkarni, “I-HEED: Intelligent Hybrid Energy-Efficient Distributed Clustering for WSN,” Sensors, vol. 26, no. 2, pp. 1–20, 2026.</w:t>
      </w:r>
    </w:p>
    <w:p w14:paraId="107BC3B5">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X. Li, Y. Zhang, and H. Zhao, “Energy Optimized Scheduling in WSN Using RL-HAPSO,” Nature Scientific Reports, vol. 16, pp. 1–12, 2026.</w:t>
      </w:r>
    </w:p>
    <w:p w14:paraId="461227FF">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Sowbarnika, “Trust-Aware Secure Energy-Efficient Routing Protocol for Clustered WSNs,” Wireless Networks, vol. 32, no. 4, pp. 345–360, 2026.</w:t>
      </w:r>
    </w:p>
    <w:p w14:paraId="2D834A01">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J. Kim and S. Lee, “Enhanced Secretary Bird Optimization for Energy-Efficient Cluster Head Selection in WSN,” Applied Intelligence, vol. 56, pp. 789–805, 2026.</w:t>
      </w:r>
    </w:p>
    <w:p w14:paraId="53DDC444">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xml:space="preserve">H. Zhang, Q. Liu, and Y. Chen, “Intelligent Energy-Aware Routing via Protozoa Behavior in Wireless Sensor Networks,” Future Generation Computer Systems, vol. 150, pp. 210–225, 2026. </w:t>
      </w:r>
    </w:p>
    <w:p w14:paraId="6210A08F">
      <w:pPr>
        <w:pStyle w:val="38"/>
        <w:numPr>
          <w:ilvl w:val="0"/>
          <w:numId w:val="0"/>
        </w:numPr>
        <w:tabs>
          <w:tab w:val="left" w:pos="967"/>
          <w:tab w:val="left" w:pos="969"/>
        </w:tabs>
        <w:spacing w:before="50" w:after="0" w:line="235" w:lineRule="auto"/>
        <w:ind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145BF6C3">
      <w:pPr>
        <w:pStyle w:val="9"/>
        <w:numPr>
          <w:ilvl w:val="0"/>
          <w:numId w:val="0"/>
        </w:numPr>
        <w:bidi w:val="0"/>
        <w:rPr>
          <w:rFonts w:hint="default"/>
          <w:b/>
          <w:bCs/>
          <w:lang w:val="en-US"/>
        </w:rPr>
      </w:pP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A3612"/>
    <w:rsid w:val="014A2DD9"/>
    <w:rsid w:val="01507D34"/>
    <w:rsid w:val="0152585C"/>
    <w:rsid w:val="015441BC"/>
    <w:rsid w:val="015B3B47"/>
    <w:rsid w:val="015C0A67"/>
    <w:rsid w:val="015F500E"/>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61C5"/>
    <w:rsid w:val="01B029F8"/>
    <w:rsid w:val="01B36BD0"/>
    <w:rsid w:val="01B709DD"/>
    <w:rsid w:val="01BC28E7"/>
    <w:rsid w:val="01C43576"/>
    <w:rsid w:val="01C62C13"/>
    <w:rsid w:val="01CD0000"/>
    <w:rsid w:val="01CD0FFD"/>
    <w:rsid w:val="01CF6084"/>
    <w:rsid w:val="01D47F8D"/>
    <w:rsid w:val="01DC0C1D"/>
    <w:rsid w:val="01DE089D"/>
    <w:rsid w:val="01DF5C17"/>
    <w:rsid w:val="01DF79C5"/>
    <w:rsid w:val="01E41926"/>
    <w:rsid w:val="01E924B1"/>
    <w:rsid w:val="01F2065D"/>
    <w:rsid w:val="01F2753D"/>
    <w:rsid w:val="01FA65AD"/>
    <w:rsid w:val="02023977"/>
    <w:rsid w:val="0216427A"/>
    <w:rsid w:val="02165151"/>
    <w:rsid w:val="0216715F"/>
    <w:rsid w:val="02183480"/>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574C3"/>
    <w:rsid w:val="02934EC9"/>
    <w:rsid w:val="029E5458"/>
    <w:rsid w:val="02A041DE"/>
    <w:rsid w:val="02A9706C"/>
    <w:rsid w:val="02AE55E9"/>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1020B"/>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E54AF2"/>
    <w:rsid w:val="03E70995"/>
    <w:rsid w:val="03E9547A"/>
    <w:rsid w:val="03EA08A3"/>
    <w:rsid w:val="03F54EE2"/>
    <w:rsid w:val="03F70F0C"/>
    <w:rsid w:val="03FD05D6"/>
    <w:rsid w:val="03FD59E7"/>
    <w:rsid w:val="040A59AF"/>
    <w:rsid w:val="040D1192"/>
    <w:rsid w:val="041078B8"/>
    <w:rsid w:val="041462BE"/>
    <w:rsid w:val="04153D40"/>
    <w:rsid w:val="04221DEB"/>
    <w:rsid w:val="042929E0"/>
    <w:rsid w:val="0431202E"/>
    <w:rsid w:val="0431586E"/>
    <w:rsid w:val="04380A7C"/>
    <w:rsid w:val="043E7102"/>
    <w:rsid w:val="04406715"/>
    <w:rsid w:val="04425B09"/>
    <w:rsid w:val="044A0997"/>
    <w:rsid w:val="04506123"/>
    <w:rsid w:val="04533824"/>
    <w:rsid w:val="04581CB1"/>
    <w:rsid w:val="045C1378"/>
    <w:rsid w:val="045C1F36"/>
    <w:rsid w:val="045E63D0"/>
    <w:rsid w:val="04602913"/>
    <w:rsid w:val="046041E5"/>
    <w:rsid w:val="04650DFC"/>
    <w:rsid w:val="046C2A72"/>
    <w:rsid w:val="046D7466"/>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A4A8F"/>
    <w:rsid w:val="057B5469"/>
    <w:rsid w:val="05825942"/>
    <w:rsid w:val="058D22A7"/>
    <w:rsid w:val="058D7738"/>
    <w:rsid w:val="05962A91"/>
    <w:rsid w:val="059924E1"/>
    <w:rsid w:val="05997E8B"/>
    <w:rsid w:val="059B4E40"/>
    <w:rsid w:val="059C2FB1"/>
    <w:rsid w:val="05AA02EA"/>
    <w:rsid w:val="05B24A66"/>
    <w:rsid w:val="05B24CCF"/>
    <w:rsid w:val="05BB42A5"/>
    <w:rsid w:val="05C20583"/>
    <w:rsid w:val="05C40203"/>
    <w:rsid w:val="05C940A2"/>
    <w:rsid w:val="05CC0260"/>
    <w:rsid w:val="05D13AC9"/>
    <w:rsid w:val="05D76C05"/>
    <w:rsid w:val="05D9297D"/>
    <w:rsid w:val="05D94925"/>
    <w:rsid w:val="05DD1488"/>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35222"/>
    <w:rsid w:val="06983A5E"/>
    <w:rsid w:val="069914E0"/>
    <w:rsid w:val="06994D63"/>
    <w:rsid w:val="06B3208A"/>
    <w:rsid w:val="06B65283"/>
    <w:rsid w:val="06BC4F18"/>
    <w:rsid w:val="06C518F0"/>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457F"/>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124F9F"/>
    <w:rsid w:val="0A1B13A1"/>
    <w:rsid w:val="0A1E07A5"/>
    <w:rsid w:val="0A2D0142"/>
    <w:rsid w:val="0A2E2341"/>
    <w:rsid w:val="0A316B49"/>
    <w:rsid w:val="0A33367C"/>
    <w:rsid w:val="0A3E25DB"/>
    <w:rsid w:val="0A420FE1"/>
    <w:rsid w:val="0A4F1460"/>
    <w:rsid w:val="0A4F2875"/>
    <w:rsid w:val="0A514815"/>
    <w:rsid w:val="0A52707D"/>
    <w:rsid w:val="0A5A1A5C"/>
    <w:rsid w:val="0A5D1DCF"/>
    <w:rsid w:val="0A5E0911"/>
    <w:rsid w:val="0A617D3D"/>
    <w:rsid w:val="0A67379F"/>
    <w:rsid w:val="0A6B21A6"/>
    <w:rsid w:val="0A794110"/>
    <w:rsid w:val="0A854E82"/>
    <w:rsid w:val="0A8C4462"/>
    <w:rsid w:val="0A8F5D00"/>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AFD44E7"/>
    <w:rsid w:val="0B0645A2"/>
    <w:rsid w:val="0B102933"/>
    <w:rsid w:val="0B112BB9"/>
    <w:rsid w:val="0B114967"/>
    <w:rsid w:val="0B17367B"/>
    <w:rsid w:val="0B1D7A4B"/>
    <w:rsid w:val="0B1F76CB"/>
    <w:rsid w:val="0B203454"/>
    <w:rsid w:val="0B267056"/>
    <w:rsid w:val="0B3166EB"/>
    <w:rsid w:val="0B3568A8"/>
    <w:rsid w:val="0B393773"/>
    <w:rsid w:val="0B403483"/>
    <w:rsid w:val="0B494101"/>
    <w:rsid w:val="0B5E04B4"/>
    <w:rsid w:val="0B5F7F25"/>
    <w:rsid w:val="0B680A2B"/>
    <w:rsid w:val="0B6D524B"/>
    <w:rsid w:val="0B713C52"/>
    <w:rsid w:val="0B796AE0"/>
    <w:rsid w:val="0B7B1FE3"/>
    <w:rsid w:val="0B7D54E6"/>
    <w:rsid w:val="0B802EFE"/>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AE6912"/>
    <w:rsid w:val="0CB73F69"/>
    <w:rsid w:val="0CBF0B1F"/>
    <w:rsid w:val="0CC0217F"/>
    <w:rsid w:val="0CCD3F0E"/>
    <w:rsid w:val="0CD36378"/>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244E26"/>
    <w:rsid w:val="0D3216B4"/>
    <w:rsid w:val="0D344BB7"/>
    <w:rsid w:val="0D442DD2"/>
    <w:rsid w:val="0D4870DB"/>
    <w:rsid w:val="0D4C5AE1"/>
    <w:rsid w:val="0D5B4A77"/>
    <w:rsid w:val="0D5C24F8"/>
    <w:rsid w:val="0D5E59FB"/>
    <w:rsid w:val="0D627C85"/>
    <w:rsid w:val="0D683E73"/>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6032D"/>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C20487"/>
    <w:rsid w:val="0ECC7523"/>
    <w:rsid w:val="0ED70ED7"/>
    <w:rsid w:val="0EDC32B1"/>
    <w:rsid w:val="0EE83C31"/>
    <w:rsid w:val="0EED198A"/>
    <w:rsid w:val="0EF12AE6"/>
    <w:rsid w:val="0EF16F8A"/>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34B24"/>
    <w:rsid w:val="0FE443F8"/>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8747A"/>
    <w:rsid w:val="10890389"/>
    <w:rsid w:val="108F7F7A"/>
    <w:rsid w:val="10945E1E"/>
    <w:rsid w:val="109542C4"/>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D5F4A"/>
    <w:rsid w:val="12F40DF6"/>
    <w:rsid w:val="12F450A8"/>
    <w:rsid w:val="12F7602D"/>
    <w:rsid w:val="12F83AAE"/>
    <w:rsid w:val="12F9465F"/>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34EB0"/>
    <w:rsid w:val="13D92D9C"/>
    <w:rsid w:val="13D93B40"/>
    <w:rsid w:val="13DC26B0"/>
    <w:rsid w:val="13E833B7"/>
    <w:rsid w:val="13EF7DF0"/>
    <w:rsid w:val="13F029C1"/>
    <w:rsid w:val="13FC0B7A"/>
    <w:rsid w:val="140D7D73"/>
    <w:rsid w:val="14111FFD"/>
    <w:rsid w:val="141C6857"/>
    <w:rsid w:val="141E2A73"/>
    <w:rsid w:val="14202763"/>
    <w:rsid w:val="143A47CF"/>
    <w:rsid w:val="143D057B"/>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4EEE"/>
    <w:rsid w:val="14EE6822"/>
    <w:rsid w:val="14F1166B"/>
    <w:rsid w:val="14F270EC"/>
    <w:rsid w:val="14F86492"/>
    <w:rsid w:val="15003E83"/>
    <w:rsid w:val="15023959"/>
    <w:rsid w:val="15075A0D"/>
    <w:rsid w:val="150D2643"/>
    <w:rsid w:val="150D3199"/>
    <w:rsid w:val="152065D0"/>
    <w:rsid w:val="15231AB9"/>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22D8C"/>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70809D5"/>
    <w:rsid w:val="17095673"/>
    <w:rsid w:val="17124B68"/>
    <w:rsid w:val="17191F74"/>
    <w:rsid w:val="171E2B79"/>
    <w:rsid w:val="17231CAA"/>
    <w:rsid w:val="17237001"/>
    <w:rsid w:val="17283764"/>
    <w:rsid w:val="17301B9A"/>
    <w:rsid w:val="17371525"/>
    <w:rsid w:val="17397720"/>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D4FEE"/>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1E12"/>
    <w:rsid w:val="196A273E"/>
    <w:rsid w:val="197131A1"/>
    <w:rsid w:val="1977452F"/>
    <w:rsid w:val="19782D58"/>
    <w:rsid w:val="197902A7"/>
    <w:rsid w:val="19892FF3"/>
    <w:rsid w:val="198B018A"/>
    <w:rsid w:val="198B64F6"/>
    <w:rsid w:val="198F297E"/>
    <w:rsid w:val="198F4717"/>
    <w:rsid w:val="199050E3"/>
    <w:rsid w:val="199E0159"/>
    <w:rsid w:val="19A3205B"/>
    <w:rsid w:val="19BE7C49"/>
    <w:rsid w:val="19C239FC"/>
    <w:rsid w:val="19C80559"/>
    <w:rsid w:val="19C83DDC"/>
    <w:rsid w:val="19C9185E"/>
    <w:rsid w:val="19DD04FE"/>
    <w:rsid w:val="19E47E89"/>
    <w:rsid w:val="19E5590B"/>
    <w:rsid w:val="19EB7814"/>
    <w:rsid w:val="19EC5296"/>
    <w:rsid w:val="19F55BA5"/>
    <w:rsid w:val="19FA01DC"/>
    <w:rsid w:val="1A002DB1"/>
    <w:rsid w:val="1A045DC3"/>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43565"/>
    <w:rsid w:val="1A5C0DCD"/>
    <w:rsid w:val="1A607E32"/>
    <w:rsid w:val="1A612171"/>
    <w:rsid w:val="1A612CD6"/>
    <w:rsid w:val="1A65428B"/>
    <w:rsid w:val="1A682661"/>
    <w:rsid w:val="1A734CF7"/>
    <w:rsid w:val="1A84670E"/>
    <w:rsid w:val="1A934532"/>
    <w:rsid w:val="1A952EBF"/>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250273"/>
    <w:rsid w:val="1C332BD1"/>
    <w:rsid w:val="1C3A035E"/>
    <w:rsid w:val="1C3C5A5F"/>
    <w:rsid w:val="1C4C3A51"/>
    <w:rsid w:val="1C527C03"/>
    <w:rsid w:val="1C550B58"/>
    <w:rsid w:val="1C56667E"/>
    <w:rsid w:val="1C5D17BA"/>
    <w:rsid w:val="1C5D3A88"/>
    <w:rsid w:val="1C630E66"/>
    <w:rsid w:val="1C630FDB"/>
    <w:rsid w:val="1C646FED"/>
    <w:rsid w:val="1C6F2DB6"/>
    <w:rsid w:val="1C754957"/>
    <w:rsid w:val="1C7836C6"/>
    <w:rsid w:val="1C791147"/>
    <w:rsid w:val="1C7B60E4"/>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96AC8"/>
    <w:rsid w:val="1D7E18EE"/>
    <w:rsid w:val="1D804359"/>
    <w:rsid w:val="1D893503"/>
    <w:rsid w:val="1D9B6A3E"/>
    <w:rsid w:val="1D9F5DE8"/>
    <w:rsid w:val="1DA04055"/>
    <w:rsid w:val="1DA5166B"/>
    <w:rsid w:val="1DAB4D3C"/>
    <w:rsid w:val="1DAD0520"/>
    <w:rsid w:val="1DB573D4"/>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17A38"/>
    <w:rsid w:val="1EB63404"/>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74BE7"/>
    <w:rsid w:val="1F5844BB"/>
    <w:rsid w:val="1F59095F"/>
    <w:rsid w:val="1F617814"/>
    <w:rsid w:val="1F6E02F3"/>
    <w:rsid w:val="1F707178"/>
    <w:rsid w:val="1F7809FB"/>
    <w:rsid w:val="1F7929AE"/>
    <w:rsid w:val="1F7A70A9"/>
    <w:rsid w:val="1F7E48B7"/>
    <w:rsid w:val="1F9C6A9E"/>
    <w:rsid w:val="1FA26C35"/>
    <w:rsid w:val="1FA53BA4"/>
    <w:rsid w:val="1FA6126F"/>
    <w:rsid w:val="1FA63478"/>
    <w:rsid w:val="1FAB2CC2"/>
    <w:rsid w:val="1FB00909"/>
    <w:rsid w:val="1FBE07C2"/>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4020"/>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71F9A"/>
    <w:rsid w:val="20EB0691"/>
    <w:rsid w:val="20ED5D93"/>
    <w:rsid w:val="20F070A1"/>
    <w:rsid w:val="20F56A22"/>
    <w:rsid w:val="20FA7627"/>
    <w:rsid w:val="21076199"/>
    <w:rsid w:val="211823AD"/>
    <w:rsid w:val="21207866"/>
    <w:rsid w:val="212307EB"/>
    <w:rsid w:val="213A6642"/>
    <w:rsid w:val="213F699C"/>
    <w:rsid w:val="21464F13"/>
    <w:rsid w:val="21465528"/>
    <w:rsid w:val="214C0426"/>
    <w:rsid w:val="214C62A1"/>
    <w:rsid w:val="21537630"/>
    <w:rsid w:val="21561F3F"/>
    <w:rsid w:val="21592EC3"/>
    <w:rsid w:val="21667363"/>
    <w:rsid w:val="216B0BDF"/>
    <w:rsid w:val="216F5067"/>
    <w:rsid w:val="21723DED"/>
    <w:rsid w:val="21727EC2"/>
    <w:rsid w:val="2175317B"/>
    <w:rsid w:val="217B46FD"/>
    <w:rsid w:val="217D645B"/>
    <w:rsid w:val="2181419D"/>
    <w:rsid w:val="21815F4B"/>
    <w:rsid w:val="21962D28"/>
    <w:rsid w:val="21A37E40"/>
    <w:rsid w:val="21A70A44"/>
    <w:rsid w:val="21AB121A"/>
    <w:rsid w:val="21B22658"/>
    <w:rsid w:val="21BB54E6"/>
    <w:rsid w:val="21BD09EA"/>
    <w:rsid w:val="21BE719F"/>
    <w:rsid w:val="21C83B7A"/>
    <w:rsid w:val="21D02A2F"/>
    <w:rsid w:val="21D1768A"/>
    <w:rsid w:val="21D73792"/>
    <w:rsid w:val="21D83065"/>
    <w:rsid w:val="21E07116"/>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46BD8"/>
    <w:rsid w:val="22F506E6"/>
    <w:rsid w:val="22F7746D"/>
    <w:rsid w:val="230001E7"/>
    <w:rsid w:val="23007D7C"/>
    <w:rsid w:val="23181B9F"/>
    <w:rsid w:val="23197621"/>
    <w:rsid w:val="23201794"/>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44C86"/>
    <w:rsid w:val="24FA33BA"/>
    <w:rsid w:val="25007ACF"/>
    <w:rsid w:val="25010FCF"/>
    <w:rsid w:val="25060A5D"/>
    <w:rsid w:val="25300011"/>
    <w:rsid w:val="25315A92"/>
    <w:rsid w:val="253B0B07"/>
    <w:rsid w:val="253D662D"/>
    <w:rsid w:val="254276EE"/>
    <w:rsid w:val="25461985"/>
    <w:rsid w:val="254856B7"/>
    <w:rsid w:val="254F08C6"/>
    <w:rsid w:val="25657932"/>
    <w:rsid w:val="25661A5B"/>
    <w:rsid w:val="25670AE2"/>
    <w:rsid w:val="256A3ACE"/>
    <w:rsid w:val="25710085"/>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407A7"/>
    <w:rsid w:val="25EB0744"/>
    <w:rsid w:val="25FC4987"/>
    <w:rsid w:val="260116D8"/>
    <w:rsid w:val="260747F1"/>
    <w:rsid w:val="26136085"/>
    <w:rsid w:val="26190E48"/>
    <w:rsid w:val="261F571B"/>
    <w:rsid w:val="262241EA"/>
    <w:rsid w:val="26270419"/>
    <w:rsid w:val="263537A8"/>
    <w:rsid w:val="26480ADD"/>
    <w:rsid w:val="26491A9E"/>
    <w:rsid w:val="265F2F9D"/>
    <w:rsid w:val="26691012"/>
    <w:rsid w:val="2673332F"/>
    <w:rsid w:val="26881571"/>
    <w:rsid w:val="268A1547"/>
    <w:rsid w:val="268F2EB8"/>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74C5C"/>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73056"/>
    <w:rsid w:val="286A7085"/>
    <w:rsid w:val="286F2FA1"/>
    <w:rsid w:val="28724C6B"/>
    <w:rsid w:val="287607EB"/>
    <w:rsid w:val="28855E8A"/>
    <w:rsid w:val="28887BBF"/>
    <w:rsid w:val="288D5494"/>
    <w:rsid w:val="28913E9A"/>
    <w:rsid w:val="28956780"/>
    <w:rsid w:val="289C222B"/>
    <w:rsid w:val="28A42EBB"/>
    <w:rsid w:val="28AB4A44"/>
    <w:rsid w:val="28B00ECC"/>
    <w:rsid w:val="28B16A6A"/>
    <w:rsid w:val="28B43155"/>
    <w:rsid w:val="28C1246B"/>
    <w:rsid w:val="28CD627E"/>
    <w:rsid w:val="28D07202"/>
    <w:rsid w:val="28D33A0A"/>
    <w:rsid w:val="28D87E92"/>
    <w:rsid w:val="28E3039C"/>
    <w:rsid w:val="28EA7DAC"/>
    <w:rsid w:val="28F306BC"/>
    <w:rsid w:val="28F43F3F"/>
    <w:rsid w:val="28F45255"/>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660E5"/>
    <w:rsid w:val="294855A0"/>
    <w:rsid w:val="29534671"/>
    <w:rsid w:val="29543F45"/>
    <w:rsid w:val="29564161"/>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31555"/>
    <w:rsid w:val="29E7224E"/>
    <w:rsid w:val="29EC0F55"/>
    <w:rsid w:val="29FB7F12"/>
    <w:rsid w:val="2A006FF2"/>
    <w:rsid w:val="2A04596B"/>
    <w:rsid w:val="2A22332C"/>
    <w:rsid w:val="2A297180"/>
    <w:rsid w:val="2A365850"/>
    <w:rsid w:val="2A473AAA"/>
    <w:rsid w:val="2A5218FD"/>
    <w:rsid w:val="2A5B478B"/>
    <w:rsid w:val="2A5E32CD"/>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C82E3D"/>
    <w:rsid w:val="2ACF07B5"/>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363AE"/>
    <w:rsid w:val="2D077487"/>
    <w:rsid w:val="2D0B0DBF"/>
    <w:rsid w:val="2D11017C"/>
    <w:rsid w:val="2D190E0B"/>
    <w:rsid w:val="2D1C121E"/>
    <w:rsid w:val="2D241E80"/>
    <w:rsid w:val="2D260121"/>
    <w:rsid w:val="2D32459D"/>
    <w:rsid w:val="2D3447B9"/>
    <w:rsid w:val="2D3D3350"/>
    <w:rsid w:val="2D470656"/>
    <w:rsid w:val="2D5B7F98"/>
    <w:rsid w:val="2D6A1F89"/>
    <w:rsid w:val="2D7042EC"/>
    <w:rsid w:val="2D763723"/>
    <w:rsid w:val="2D7828F8"/>
    <w:rsid w:val="2D7921CC"/>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74A53"/>
    <w:rsid w:val="2FBB2F70"/>
    <w:rsid w:val="2FBF4562"/>
    <w:rsid w:val="2FC7196E"/>
    <w:rsid w:val="2FD7548C"/>
    <w:rsid w:val="2FD93A57"/>
    <w:rsid w:val="2FD9510C"/>
    <w:rsid w:val="2FDB716E"/>
    <w:rsid w:val="2FDE1594"/>
    <w:rsid w:val="30045A3B"/>
    <w:rsid w:val="300727D8"/>
    <w:rsid w:val="30085C5B"/>
    <w:rsid w:val="30103067"/>
    <w:rsid w:val="301068EB"/>
    <w:rsid w:val="30110AE9"/>
    <w:rsid w:val="30141A6E"/>
    <w:rsid w:val="30191779"/>
    <w:rsid w:val="301C6E7A"/>
    <w:rsid w:val="301D7787"/>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27D00"/>
    <w:rsid w:val="319C1B8D"/>
    <w:rsid w:val="319D5111"/>
    <w:rsid w:val="31A63EF0"/>
    <w:rsid w:val="31A77C86"/>
    <w:rsid w:val="31AB42A0"/>
    <w:rsid w:val="31AC630C"/>
    <w:rsid w:val="31AE7611"/>
    <w:rsid w:val="31AF7290"/>
    <w:rsid w:val="31B00595"/>
    <w:rsid w:val="31B77767"/>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C4750"/>
    <w:rsid w:val="32977363"/>
    <w:rsid w:val="32985010"/>
    <w:rsid w:val="329A50BF"/>
    <w:rsid w:val="32AC54CC"/>
    <w:rsid w:val="32BA0A47"/>
    <w:rsid w:val="32BC3287"/>
    <w:rsid w:val="32BE0DA6"/>
    <w:rsid w:val="32D60378"/>
    <w:rsid w:val="32D87995"/>
    <w:rsid w:val="32DB47FF"/>
    <w:rsid w:val="32DD1D7A"/>
    <w:rsid w:val="32DD447F"/>
    <w:rsid w:val="32E26388"/>
    <w:rsid w:val="32E4188C"/>
    <w:rsid w:val="32E64D8F"/>
    <w:rsid w:val="32E95D13"/>
    <w:rsid w:val="32EB591A"/>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4327C"/>
    <w:rsid w:val="334B4AB3"/>
    <w:rsid w:val="3356210E"/>
    <w:rsid w:val="33575837"/>
    <w:rsid w:val="335C27CF"/>
    <w:rsid w:val="335D0251"/>
    <w:rsid w:val="33604A58"/>
    <w:rsid w:val="33664FA1"/>
    <w:rsid w:val="33851415"/>
    <w:rsid w:val="3385661C"/>
    <w:rsid w:val="33897E1B"/>
    <w:rsid w:val="338D4C23"/>
    <w:rsid w:val="338F44F8"/>
    <w:rsid w:val="3392652C"/>
    <w:rsid w:val="33934ADE"/>
    <w:rsid w:val="339A2E9C"/>
    <w:rsid w:val="339C6E3C"/>
    <w:rsid w:val="33A361F5"/>
    <w:rsid w:val="33AB1655"/>
    <w:rsid w:val="33AD0E22"/>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277BC"/>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40873"/>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262A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E42DAC"/>
    <w:rsid w:val="36F22B3E"/>
    <w:rsid w:val="36FB00F6"/>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98C"/>
    <w:rsid w:val="37C44C8D"/>
    <w:rsid w:val="37C91115"/>
    <w:rsid w:val="37CC2099"/>
    <w:rsid w:val="37CE75B8"/>
    <w:rsid w:val="37D16521"/>
    <w:rsid w:val="37E01F7D"/>
    <w:rsid w:val="37E67A68"/>
    <w:rsid w:val="37F479DA"/>
    <w:rsid w:val="37F50CDF"/>
    <w:rsid w:val="37FA1725"/>
    <w:rsid w:val="380562C5"/>
    <w:rsid w:val="380B4369"/>
    <w:rsid w:val="380B5401"/>
    <w:rsid w:val="380B6117"/>
    <w:rsid w:val="3814248D"/>
    <w:rsid w:val="381630CC"/>
    <w:rsid w:val="381A2FA8"/>
    <w:rsid w:val="381E38D4"/>
    <w:rsid w:val="38241E1F"/>
    <w:rsid w:val="383B234D"/>
    <w:rsid w:val="38494CA3"/>
    <w:rsid w:val="3849704B"/>
    <w:rsid w:val="384A4E91"/>
    <w:rsid w:val="38571C7D"/>
    <w:rsid w:val="385D5117"/>
    <w:rsid w:val="386121DB"/>
    <w:rsid w:val="38677D19"/>
    <w:rsid w:val="38714C3C"/>
    <w:rsid w:val="38735D2A"/>
    <w:rsid w:val="387B69BA"/>
    <w:rsid w:val="387D01A0"/>
    <w:rsid w:val="38806B05"/>
    <w:rsid w:val="388749CB"/>
    <w:rsid w:val="388A3DAE"/>
    <w:rsid w:val="388C6C54"/>
    <w:rsid w:val="388F1DD7"/>
    <w:rsid w:val="38961E84"/>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0201C"/>
    <w:rsid w:val="39017437"/>
    <w:rsid w:val="390A2872"/>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66C90"/>
    <w:rsid w:val="3A3C0B99"/>
    <w:rsid w:val="3A3E3FBC"/>
    <w:rsid w:val="3A4D68B5"/>
    <w:rsid w:val="3A595F4B"/>
    <w:rsid w:val="3A5B3385"/>
    <w:rsid w:val="3A5B5BCB"/>
    <w:rsid w:val="3A5E49AA"/>
    <w:rsid w:val="3A617AD4"/>
    <w:rsid w:val="3A6464DA"/>
    <w:rsid w:val="3A655BDD"/>
    <w:rsid w:val="3A706705"/>
    <w:rsid w:val="3A8328DC"/>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A363D"/>
    <w:rsid w:val="3B5D312D"/>
    <w:rsid w:val="3B601BF5"/>
    <w:rsid w:val="3B617677"/>
    <w:rsid w:val="3B6363FD"/>
    <w:rsid w:val="3B637FD8"/>
    <w:rsid w:val="3B6A5FA3"/>
    <w:rsid w:val="3B765F9D"/>
    <w:rsid w:val="3B8B3833"/>
    <w:rsid w:val="3B9839C9"/>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15D"/>
    <w:rsid w:val="3C5E791A"/>
    <w:rsid w:val="3C612A9D"/>
    <w:rsid w:val="3C641403"/>
    <w:rsid w:val="3C73403C"/>
    <w:rsid w:val="3C743CBC"/>
    <w:rsid w:val="3C750826"/>
    <w:rsid w:val="3C764FC0"/>
    <w:rsid w:val="3C7A386B"/>
    <w:rsid w:val="3C7B6ECA"/>
    <w:rsid w:val="3C7C10C8"/>
    <w:rsid w:val="3C7E29F0"/>
    <w:rsid w:val="3C872CDC"/>
    <w:rsid w:val="3C907D69"/>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450B8"/>
    <w:rsid w:val="3E95498C"/>
    <w:rsid w:val="3E9571B9"/>
    <w:rsid w:val="3EA846BF"/>
    <w:rsid w:val="3EAA16DD"/>
    <w:rsid w:val="3EB63280"/>
    <w:rsid w:val="3EB92D70"/>
    <w:rsid w:val="3EBC63B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95632"/>
    <w:rsid w:val="400B001F"/>
    <w:rsid w:val="400C5AA1"/>
    <w:rsid w:val="401044A7"/>
    <w:rsid w:val="40161C34"/>
    <w:rsid w:val="401818B4"/>
    <w:rsid w:val="401B136F"/>
    <w:rsid w:val="401D4C7D"/>
    <w:rsid w:val="402130C0"/>
    <w:rsid w:val="402569CB"/>
    <w:rsid w:val="40297A82"/>
    <w:rsid w:val="402D5FD6"/>
    <w:rsid w:val="402E048B"/>
    <w:rsid w:val="403533E2"/>
    <w:rsid w:val="404C688B"/>
    <w:rsid w:val="40520794"/>
    <w:rsid w:val="40580367"/>
    <w:rsid w:val="405D2A86"/>
    <w:rsid w:val="406A5E3B"/>
    <w:rsid w:val="406B38BC"/>
    <w:rsid w:val="40751C4D"/>
    <w:rsid w:val="4081789B"/>
    <w:rsid w:val="408E3D89"/>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23435"/>
    <w:rsid w:val="419B1A30"/>
    <w:rsid w:val="41A73EBC"/>
    <w:rsid w:val="41AA67C7"/>
    <w:rsid w:val="41B4781F"/>
    <w:rsid w:val="41B94863"/>
    <w:rsid w:val="41CA43BA"/>
    <w:rsid w:val="41CE6B33"/>
    <w:rsid w:val="41D41C6F"/>
    <w:rsid w:val="41E50BAA"/>
    <w:rsid w:val="41E6662C"/>
    <w:rsid w:val="41ED183A"/>
    <w:rsid w:val="41EE2D31"/>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640AA"/>
    <w:rsid w:val="430E60F0"/>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985FF2"/>
    <w:rsid w:val="43A00E80"/>
    <w:rsid w:val="43A42298"/>
    <w:rsid w:val="43A606BF"/>
    <w:rsid w:val="43AE4585"/>
    <w:rsid w:val="43AF64F0"/>
    <w:rsid w:val="43BA782C"/>
    <w:rsid w:val="43C26E36"/>
    <w:rsid w:val="43C732BE"/>
    <w:rsid w:val="43C875B2"/>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A122DD"/>
    <w:rsid w:val="44A40B8C"/>
    <w:rsid w:val="44A4522B"/>
    <w:rsid w:val="44A678F3"/>
    <w:rsid w:val="44A91191"/>
    <w:rsid w:val="44A973E3"/>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93EC7"/>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F261D2"/>
    <w:rsid w:val="45FF1C64"/>
    <w:rsid w:val="46084AF2"/>
    <w:rsid w:val="461C3792"/>
    <w:rsid w:val="46222FA9"/>
    <w:rsid w:val="462E7BA0"/>
    <w:rsid w:val="46315CB6"/>
    <w:rsid w:val="463333B8"/>
    <w:rsid w:val="463827CD"/>
    <w:rsid w:val="463D4287"/>
    <w:rsid w:val="46492C2C"/>
    <w:rsid w:val="464A4AAB"/>
    <w:rsid w:val="464B42E2"/>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C671A0"/>
    <w:rsid w:val="46CE1038"/>
    <w:rsid w:val="46D17DBE"/>
    <w:rsid w:val="46D40D43"/>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B2A5D"/>
    <w:rsid w:val="47BB79BB"/>
    <w:rsid w:val="47C016D8"/>
    <w:rsid w:val="47C06F1E"/>
    <w:rsid w:val="47CF33D4"/>
    <w:rsid w:val="47CF7161"/>
    <w:rsid w:val="47D604EF"/>
    <w:rsid w:val="47D74267"/>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2C47F7"/>
    <w:rsid w:val="482E20D9"/>
    <w:rsid w:val="482F5E51"/>
    <w:rsid w:val="48343468"/>
    <w:rsid w:val="48357685"/>
    <w:rsid w:val="4838060A"/>
    <w:rsid w:val="483A3B0D"/>
    <w:rsid w:val="483B47F6"/>
    <w:rsid w:val="4842699B"/>
    <w:rsid w:val="484731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A76173"/>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51AA7"/>
    <w:rsid w:val="4B162FC1"/>
    <w:rsid w:val="4B1906C2"/>
    <w:rsid w:val="4B2444D5"/>
    <w:rsid w:val="4B27210C"/>
    <w:rsid w:val="4B282EDB"/>
    <w:rsid w:val="4B2A1C61"/>
    <w:rsid w:val="4B2B202F"/>
    <w:rsid w:val="4B3002E7"/>
    <w:rsid w:val="4B367C72"/>
    <w:rsid w:val="4B383175"/>
    <w:rsid w:val="4B3B3748"/>
    <w:rsid w:val="4B3E2E80"/>
    <w:rsid w:val="4B4214E3"/>
    <w:rsid w:val="4B46248B"/>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DE3E16"/>
    <w:rsid w:val="4BE674CD"/>
    <w:rsid w:val="4BE86A43"/>
    <w:rsid w:val="4BF6482D"/>
    <w:rsid w:val="4BF87D30"/>
    <w:rsid w:val="4BFA0524"/>
    <w:rsid w:val="4BFA6AB7"/>
    <w:rsid w:val="4BFC7680"/>
    <w:rsid w:val="4C193AAC"/>
    <w:rsid w:val="4C2832E3"/>
    <w:rsid w:val="4C2E4987"/>
    <w:rsid w:val="4C324162"/>
    <w:rsid w:val="4C3E2A23"/>
    <w:rsid w:val="4C405215"/>
    <w:rsid w:val="4C4243A5"/>
    <w:rsid w:val="4C46376A"/>
    <w:rsid w:val="4C4658B1"/>
    <w:rsid w:val="4C520360"/>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A3CF8"/>
    <w:rsid w:val="4CAD2A13"/>
    <w:rsid w:val="4CB94B39"/>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07DBC"/>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45EFB"/>
    <w:rsid w:val="4D463256"/>
    <w:rsid w:val="4D465454"/>
    <w:rsid w:val="4D475E1C"/>
    <w:rsid w:val="4D477799"/>
    <w:rsid w:val="4D4E0042"/>
    <w:rsid w:val="4D505D63"/>
    <w:rsid w:val="4D521266"/>
    <w:rsid w:val="4D583754"/>
    <w:rsid w:val="4D624D8F"/>
    <w:rsid w:val="4D6640C3"/>
    <w:rsid w:val="4D6F6618"/>
    <w:rsid w:val="4D815253"/>
    <w:rsid w:val="4D9A17E3"/>
    <w:rsid w:val="4D9B295F"/>
    <w:rsid w:val="4D9D5E63"/>
    <w:rsid w:val="4DA0266A"/>
    <w:rsid w:val="4DA06DE7"/>
    <w:rsid w:val="4DA64574"/>
    <w:rsid w:val="4DAC647D"/>
    <w:rsid w:val="4DAD3AA0"/>
    <w:rsid w:val="4DB35F12"/>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43B94"/>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0D2AC8"/>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9E3B74"/>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1369B"/>
    <w:rsid w:val="51A76459"/>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2D3402"/>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51654"/>
    <w:rsid w:val="545A7F3D"/>
    <w:rsid w:val="546126FE"/>
    <w:rsid w:val="54717BEB"/>
    <w:rsid w:val="54741D03"/>
    <w:rsid w:val="54761099"/>
    <w:rsid w:val="54843BB7"/>
    <w:rsid w:val="549450AA"/>
    <w:rsid w:val="54996B2C"/>
    <w:rsid w:val="549C486F"/>
    <w:rsid w:val="549E472D"/>
    <w:rsid w:val="54A6749B"/>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9E63C4"/>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346BC"/>
    <w:rsid w:val="56172B5C"/>
    <w:rsid w:val="56191A4F"/>
    <w:rsid w:val="561D553B"/>
    <w:rsid w:val="5621105A"/>
    <w:rsid w:val="5632548A"/>
    <w:rsid w:val="563B15DE"/>
    <w:rsid w:val="563C64B6"/>
    <w:rsid w:val="563D098A"/>
    <w:rsid w:val="5647555E"/>
    <w:rsid w:val="56501BA9"/>
    <w:rsid w:val="56522EAE"/>
    <w:rsid w:val="56561C37"/>
    <w:rsid w:val="56614A31"/>
    <w:rsid w:val="56623E31"/>
    <w:rsid w:val="56635347"/>
    <w:rsid w:val="56642523"/>
    <w:rsid w:val="56655E0A"/>
    <w:rsid w:val="56685052"/>
    <w:rsid w:val="567974EA"/>
    <w:rsid w:val="569B249B"/>
    <w:rsid w:val="56A17F1A"/>
    <w:rsid w:val="56AA5EAE"/>
    <w:rsid w:val="56B00CC9"/>
    <w:rsid w:val="56B64DD1"/>
    <w:rsid w:val="56BA37D7"/>
    <w:rsid w:val="56BC4ADC"/>
    <w:rsid w:val="56BE5A60"/>
    <w:rsid w:val="56BE7FDF"/>
    <w:rsid w:val="56C31EE8"/>
    <w:rsid w:val="56C63E25"/>
    <w:rsid w:val="56CE683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5C72EC"/>
    <w:rsid w:val="576508E6"/>
    <w:rsid w:val="576553EC"/>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1B1F4E"/>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771406"/>
    <w:rsid w:val="59864BB0"/>
    <w:rsid w:val="59883613"/>
    <w:rsid w:val="59A22798"/>
    <w:rsid w:val="59A41FA0"/>
    <w:rsid w:val="59A44A9E"/>
    <w:rsid w:val="59A57A22"/>
    <w:rsid w:val="59AA0627"/>
    <w:rsid w:val="59B212B6"/>
    <w:rsid w:val="59B469B8"/>
    <w:rsid w:val="59B60492"/>
    <w:rsid w:val="59BB12F3"/>
    <w:rsid w:val="59BB6342"/>
    <w:rsid w:val="59BE2B4A"/>
    <w:rsid w:val="59BE36AB"/>
    <w:rsid w:val="59BF1674"/>
    <w:rsid w:val="59C30027"/>
    <w:rsid w:val="59C36FD2"/>
    <w:rsid w:val="59DD7B7C"/>
    <w:rsid w:val="59E51E95"/>
    <w:rsid w:val="59FE5B32"/>
    <w:rsid w:val="5A016AB7"/>
    <w:rsid w:val="5A0C1B4F"/>
    <w:rsid w:val="5A1225D4"/>
    <w:rsid w:val="5A1976E0"/>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67910"/>
    <w:rsid w:val="5A7744F7"/>
    <w:rsid w:val="5A7F5187"/>
    <w:rsid w:val="5A84380D"/>
    <w:rsid w:val="5A885A96"/>
    <w:rsid w:val="5A98607D"/>
    <w:rsid w:val="5A9866CB"/>
    <w:rsid w:val="5A9B1124"/>
    <w:rsid w:val="5AA0313D"/>
    <w:rsid w:val="5AA72A4E"/>
    <w:rsid w:val="5AB752E1"/>
    <w:rsid w:val="5AB96265"/>
    <w:rsid w:val="5ABD2A6D"/>
    <w:rsid w:val="5ABE04EF"/>
    <w:rsid w:val="5ABF12B7"/>
    <w:rsid w:val="5AC05DA1"/>
    <w:rsid w:val="5AC16EF5"/>
    <w:rsid w:val="5AC210F3"/>
    <w:rsid w:val="5AC95C92"/>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92A5C"/>
    <w:rsid w:val="5C396A71"/>
    <w:rsid w:val="5C3C41E3"/>
    <w:rsid w:val="5C3F445D"/>
    <w:rsid w:val="5C466CF1"/>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C26E3C"/>
    <w:rsid w:val="5CD22158"/>
    <w:rsid w:val="5CD37BDA"/>
    <w:rsid w:val="5CD526CC"/>
    <w:rsid w:val="5CD84061"/>
    <w:rsid w:val="5CDD26E7"/>
    <w:rsid w:val="5CEB6E05"/>
    <w:rsid w:val="5CED3EB9"/>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3E4A2C"/>
    <w:rsid w:val="6043627C"/>
    <w:rsid w:val="60441290"/>
    <w:rsid w:val="605E42CD"/>
    <w:rsid w:val="6061582C"/>
    <w:rsid w:val="6065645C"/>
    <w:rsid w:val="60672FB9"/>
    <w:rsid w:val="60692C39"/>
    <w:rsid w:val="60837066"/>
    <w:rsid w:val="60885401"/>
    <w:rsid w:val="60934D78"/>
    <w:rsid w:val="609B3C2C"/>
    <w:rsid w:val="60A31B19"/>
    <w:rsid w:val="60A41A75"/>
    <w:rsid w:val="60A972A5"/>
    <w:rsid w:val="60AA20C1"/>
    <w:rsid w:val="60B97540"/>
    <w:rsid w:val="60BD3BA3"/>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4538A0"/>
    <w:rsid w:val="61493688"/>
    <w:rsid w:val="614F54B5"/>
    <w:rsid w:val="615109B8"/>
    <w:rsid w:val="61580343"/>
    <w:rsid w:val="617A7CE6"/>
    <w:rsid w:val="617F26D1"/>
    <w:rsid w:val="61857F0D"/>
    <w:rsid w:val="618E081D"/>
    <w:rsid w:val="61952A3A"/>
    <w:rsid w:val="61990DAC"/>
    <w:rsid w:val="61A06CED"/>
    <w:rsid w:val="61A85B43"/>
    <w:rsid w:val="61C06A6D"/>
    <w:rsid w:val="61C431A0"/>
    <w:rsid w:val="61C86CA3"/>
    <w:rsid w:val="61C947C9"/>
    <w:rsid w:val="61D1258B"/>
    <w:rsid w:val="61EA56B3"/>
    <w:rsid w:val="61F26A1E"/>
    <w:rsid w:val="61FD68D2"/>
    <w:rsid w:val="61FF49F7"/>
    <w:rsid w:val="62066E78"/>
    <w:rsid w:val="620A5BE8"/>
    <w:rsid w:val="620B7DE6"/>
    <w:rsid w:val="62127771"/>
    <w:rsid w:val="621351F3"/>
    <w:rsid w:val="62151563"/>
    <w:rsid w:val="621A54FB"/>
    <w:rsid w:val="621B2F88"/>
    <w:rsid w:val="621C0D9D"/>
    <w:rsid w:val="62246792"/>
    <w:rsid w:val="622A192B"/>
    <w:rsid w:val="62301587"/>
    <w:rsid w:val="62371F2F"/>
    <w:rsid w:val="62397BA1"/>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00091"/>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9147F"/>
    <w:rsid w:val="64960795"/>
    <w:rsid w:val="649751C7"/>
    <w:rsid w:val="64BB76D0"/>
    <w:rsid w:val="64BF0C84"/>
    <w:rsid w:val="64C01EB3"/>
    <w:rsid w:val="64C25C2B"/>
    <w:rsid w:val="64C54CC9"/>
    <w:rsid w:val="64C94083"/>
    <w:rsid w:val="64CA1EE8"/>
    <w:rsid w:val="64D429FF"/>
    <w:rsid w:val="64D77000"/>
    <w:rsid w:val="64DC28FD"/>
    <w:rsid w:val="64DC3487"/>
    <w:rsid w:val="64E04304"/>
    <w:rsid w:val="64EE6C25"/>
    <w:rsid w:val="64F63B27"/>
    <w:rsid w:val="64F7034C"/>
    <w:rsid w:val="64FB04B9"/>
    <w:rsid w:val="64FE478A"/>
    <w:rsid w:val="64FF5B7F"/>
    <w:rsid w:val="65040DC9"/>
    <w:rsid w:val="651200DE"/>
    <w:rsid w:val="65146E65"/>
    <w:rsid w:val="65167D2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5198E"/>
    <w:rsid w:val="65DC2D1D"/>
    <w:rsid w:val="65E25925"/>
    <w:rsid w:val="65EA5BC3"/>
    <w:rsid w:val="65EE0B0E"/>
    <w:rsid w:val="65F33C33"/>
    <w:rsid w:val="65FB38DF"/>
    <w:rsid w:val="65FE0EE5"/>
    <w:rsid w:val="66087371"/>
    <w:rsid w:val="6609788A"/>
    <w:rsid w:val="661029C7"/>
    <w:rsid w:val="662B5A52"/>
    <w:rsid w:val="663520CB"/>
    <w:rsid w:val="6635713E"/>
    <w:rsid w:val="6637243F"/>
    <w:rsid w:val="6637584F"/>
    <w:rsid w:val="663A3F57"/>
    <w:rsid w:val="66432D9C"/>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BEE"/>
    <w:rsid w:val="66F81DD8"/>
    <w:rsid w:val="67072B18"/>
    <w:rsid w:val="67084D16"/>
    <w:rsid w:val="67145898"/>
    <w:rsid w:val="671526A9"/>
    <w:rsid w:val="6716225F"/>
    <w:rsid w:val="67265DC6"/>
    <w:rsid w:val="672C3830"/>
    <w:rsid w:val="672D0E56"/>
    <w:rsid w:val="672D4F56"/>
    <w:rsid w:val="67354103"/>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101D9"/>
    <w:rsid w:val="67B51A77"/>
    <w:rsid w:val="67C94DD4"/>
    <w:rsid w:val="67CC15DC"/>
    <w:rsid w:val="67D1526D"/>
    <w:rsid w:val="67D45F35"/>
    <w:rsid w:val="67D55C78"/>
    <w:rsid w:val="67E10ABE"/>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301C4"/>
    <w:rsid w:val="68C47A98"/>
    <w:rsid w:val="68C55F71"/>
    <w:rsid w:val="68C8761D"/>
    <w:rsid w:val="68CB5363"/>
    <w:rsid w:val="68CE4682"/>
    <w:rsid w:val="68D7380F"/>
    <w:rsid w:val="68DD3BE4"/>
    <w:rsid w:val="68E61D28"/>
    <w:rsid w:val="68E93174"/>
    <w:rsid w:val="68F8558D"/>
    <w:rsid w:val="68FB795E"/>
    <w:rsid w:val="69010354"/>
    <w:rsid w:val="69025DD5"/>
    <w:rsid w:val="69090FE4"/>
    <w:rsid w:val="690C3919"/>
    <w:rsid w:val="690F6F65"/>
    <w:rsid w:val="69187F79"/>
    <w:rsid w:val="691B6CFF"/>
    <w:rsid w:val="691C697F"/>
    <w:rsid w:val="69216153"/>
    <w:rsid w:val="69227DD1"/>
    <w:rsid w:val="6928618E"/>
    <w:rsid w:val="692C1198"/>
    <w:rsid w:val="692E3C0C"/>
    <w:rsid w:val="69344026"/>
    <w:rsid w:val="69366CEE"/>
    <w:rsid w:val="69407A67"/>
    <w:rsid w:val="69430DBD"/>
    <w:rsid w:val="694542C0"/>
    <w:rsid w:val="69461D42"/>
    <w:rsid w:val="694677C3"/>
    <w:rsid w:val="694A61CA"/>
    <w:rsid w:val="694D2DB0"/>
    <w:rsid w:val="6954235C"/>
    <w:rsid w:val="6963130D"/>
    <w:rsid w:val="69655E7A"/>
    <w:rsid w:val="697129CF"/>
    <w:rsid w:val="697B479A"/>
    <w:rsid w:val="697F6A24"/>
    <w:rsid w:val="698450AA"/>
    <w:rsid w:val="69894DB5"/>
    <w:rsid w:val="698A0CE2"/>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6B0B13"/>
    <w:rsid w:val="6A786C3C"/>
    <w:rsid w:val="6A7A0D56"/>
    <w:rsid w:val="6A7E058E"/>
    <w:rsid w:val="6A8504D0"/>
    <w:rsid w:val="6A9B2674"/>
    <w:rsid w:val="6A9D13FA"/>
    <w:rsid w:val="6A9F07BD"/>
    <w:rsid w:val="6AA14535"/>
    <w:rsid w:val="6AAA0710"/>
    <w:rsid w:val="6AAE3893"/>
    <w:rsid w:val="6AB461D4"/>
    <w:rsid w:val="6AB72338"/>
    <w:rsid w:val="6AC45F55"/>
    <w:rsid w:val="6AC87CC0"/>
    <w:rsid w:val="6ADB565B"/>
    <w:rsid w:val="6ADD7165"/>
    <w:rsid w:val="6ADE3093"/>
    <w:rsid w:val="6ADE7686"/>
    <w:rsid w:val="6AE70738"/>
    <w:rsid w:val="6AE97740"/>
    <w:rsid w:val="6AF35162"/>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4405C"/>
    <w:rsid w:val="6C974A38"/>
    <w:rsid w:val="6C976C36"/>
    <w:rsid w:val="6CA1081C"/>
    <w:rsid w:val="6CA32A49"/>
    <w:rsid w:val="6CAA71E5"/>
    <w:rsid w:val="6CAC58D7"/>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119D2"/>
    <w:rsid w:val="6E1340F2"/>
    <w:rsid w:val="6E153270"/>
    <w:rsid w:val="6E1A1A5F"/>
    <w:rsid w:val="6E1F62E7"/>
    <w:rsid w:val="6E2D119A"/>
    <w:rsid w:val="6E31687E"/>
    <w:rsid w:val="6E406FF2"/>
    <w:rsid w:val="6E460EFB"/>
    <w:rsid w:val="6E480B7B"/>
    <w:rsid w:val="6E505F87"/>
    <w:rsid w:val="6E601AA5"/>
    <w:rsid w:val="6E6D5537"/>
    <w:rsid w:val="6E7004A6"/>
    <w:rsid w:val="6E7A264F"/>
    <w:rsid w:val="6E7D35D3"/>
    <w:rsid w:val="6E810716"/>
    <w:rsid w:val="6E8977BA"/>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3C7A"/>
    <w:rsid w:val="6F1F535B"/>
    <w:rsid w:val="6F202742"/>
    <w:rsid w:val="6F2140E1"/>
    <w:rsid w:val="6F231BEF"/>
    <w:rsid w:val="6F2B0871"/>
    <w:rsid w:val="6F2C5FF8"/>
    <w:rsid w:val="6F2F391C"/>
    <w:rsid w:val="6F31233E"/>
    <w:rsid w:val="6F3B4C8B"/>
    <w:rsid w:val="6F3C5AED"/>
    <w:rsid w:val="6F54601A"/>
    <w:rsid w:val="6F59718C"/>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A7810"/>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A7660"/>
    <w:rsid w:val="705C289B"/>
    <w:rsid w:val="705E5CE7"/>
    <w:rsid w:val="706A53C9"/>
    <w:rsid w:val="70757E8B"/>
    <w:rsid w:val="70776C11"/>
    <w:rsid w:val="7089502D"/>
    <w:rsid w:val="708F1FE0"/>
    <w:rsid w:val="70903082"/>
    <w:rsid w:val="70980188"/>
    <w:rsid w:val="709C35CE"/>
    <w:rsid w:val="709D6403"/>
    <w:rsid w:val="70A24B63"/>
    <w:rsid w:val="70A703CB"/>
    <w:rsid w:val="70AD70EB"/>
    <w:rsid w:val="70AE62DA"/>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1033AE0"/>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BB2380"/>
    <w:rsid w:val="71C92D3B"/>
    <w:rsid w:val="71D13952"/>
    <w:rsid w:val="71D62051"/>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4D47AF"/>
    <w:rsid w:val="725A3947"/>
    <w:rsid w:val="725C35AF"/>
    <w:rsid w:val="725E2D0C"/>
    <w:rsid w:val="72620508"/>
    <w:rsid w:val="7266063B"/>
    <w:rsid w:val="72683B3E"/>
    <w:rsid w:val="726B5B54"/>
    <w:rsid w:val="726B70DE"/>
    <w:rsid w:val="726C7FC6"/>
    <w:rsid w:val="726D5A47"/>
    <w:rsid w:val="728743F3"/>
    <w:rsid w:val="728A50C8"/>
    <w:rsid w:val="728E17FF"/>
    <w:rsid w:val="7294672D"/>
    <w:rsid w:val="72AA58AC"/>
    <w:rsid w:val="72AB3D4C"/>
    <w:rsid w:val="72B33FBD"/>
    <w:rsid w:val="72B8241C"/>
    <w:rsid w:val="72BA5B47"/>
    <w:rsid w:val="72BB3CBA"/>
    <w:rsid w:val="72C5775B"/>
    <w:rsid w:val="72CF006A"/>
    <w:rsid w:val="72CF05C3"/>
    <w:rsid w:val="72D444F2"/>
    <w:rsid w:val="72EC0317"/>
    <w:rsid w:val="72F65D2C"/>
    <w:rsid w:val="73015ACB"/>
    <w:rsid w:val="7305217D"/>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B3932"/>
    <w:rsid w:val="736F68EF"/>
    <w:rsid w:val="737230F7"/>
    <w:rsid w:val="73724CC1"/>
    <w:rsid w:val="73724D47"/>
    <w:rsid w:val="73727F0B"/>
    <w:rsid w:val="73781BAB"/>
    <w:rsid w:val="737A2701"/>
    <w:rsid w:val="73877819"/>
    <w:rsid w:val="73897499"/>
    <w:rsid w:val="738C041D"/>
    <w:rsid w:val="7394143C"/>
    <w:rsid w:val="739432AB"/>
    <w:rsid w:val="73970283"/>
    <w:rsid w:val="73A215DC"/>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0091B"/>
    <w:rsid w:val="744530CF"/>
    <w:rsid w:val="745F79D2"/>
    <w:rsid w:val="746074FC"/>
    <w:rsid w:val="746A3BEA"/>
    <w:rsid w:val="746A5998"/>
    <w:rsid w:val="7474619D"/>
    <w:rsid w:val="74746816"/>
    <w:rsid w:val="747B5B27"/>
    <w:rsid w:val="747C35A9"/>
    <w:rsid w:val="74804596"/>
    <w:rsid w:val="74884070"/>
    <w:rsid w:val="748922C2"/>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811F5"/>
    <w:rsid w:val="74F91C79"/>
    <w:rsid w:val="74FC0CE6"/>
    <w:rsid w:val="75007F91"/>
    <w:rsid w:val="75045DEC"/>
    <w:rsid w:val="7506312B"/>
    <w:rsid w:val="75063912"/>
    <w:rsid w:val="751402A4"/>
    <w:rsid w:val="75142AA3"/>
    <w:rsid w:val="75167F24"/>
    <w:rsid w:val="75173427"/>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417EE"/>
    <w:rsid w:val="76D85607"/>
    <w:rsid w:val="76FB26C3"/>
    <w:rsid w:val="76FB48C2"/>
    <w:rsid w:val="770B019B"/>
    <w:rsid w:val="770C71DA"/>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9462C"/>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67389"/>
    <w:rsid w:val="77C7032E"/>
    <w:rsid w:val="77D13620"/>
    <w:rsid w:val="77D323A7"/>
    <w:rsid w:val="77DB67A7"/>
    <w:rsid w:val="77DB77B3"/>
    <w:rsid w:val="77DD2CB6"/>
    <w:rsid w:val="77E522C1"/>
    <w:rsid w:val="77EA6748"/>
    <w:rsid w:val="77F67856"/>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538A6"/>
    <w:rsid w:val="78892DCF"/>
    <w:rsid w:val="788A066E"/>
    <w:rsid w:val="78905891"/>
    <w:rsid w:val="78931961"/>
    <w:rsid w:val="78977B66"/>
    <w:rsid w:val="789E5ABF"/>
    <w:rsid w:val="78A21BA4"/>
    <w:rsid w:val="78A53CFB"/>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4C1B10"/>
    <w:rsid w:val="79502D1E"/>
    <w:rsid w:val="796A3742"/>
    <w:rsid w:val="79711576"/>
    <w:rsid w:val="797177C8"/>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23425"/>
    <w:rsid w:val="7A49752C"/>
    <w:rsid w:val="7A514939"/>
    <w:rsid w:val="7A581D45"/>
    <w:rsid w:val="7A5C6674"/>
    <w:rsid w:val="7A6A32E4"/>
    <w:rsid w:val="7A6D6467"/>
    <w:rsid w:val="7A6D7F90"/>
    <w:rsid w:val="7A6F1B2F"/>
    <w:rsid w:val="7A6F3D08"/>
    <w:rsid w:val="7A712C6F"/>
    <w:rsid w:val="7A925C48"/>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9E6B26"/>
    <w:rsid w:val="7CA0289E"/>
    <w:rsid w:val="7CA12173"/>
    <w:rsid w:val="7CAB4469"/>
    <w:rsid w:val="7CAF4890"/>
    <w:rsid w:val="7CB0319E"/>
    <w:rsid w:val="7CB157B5"/>
    <w:rsid w:val="7CBA7331"/>
    <w:rsid w:val="7CC0731E"/>
    <w:rsid w:val="7CC72903"/>
    <w:rsid w:val="7CCC14D9"/>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B74AC"/>
    <w:rsid w:val="7D5117D8"/>
    <w:rsid w:val="7D5207A9"/>
    <w:rsid w:val="7D55172E"/>
    <w:rsid w:val="7D5A5D84"/>
    <w:rsid w:val="7D640786"/>
    <w:rsid w:val="7D6815C0"/>
    <w:rsid w:val="7D6B16D3"/>
    <w:rsid w:val="7D74675F"/>
    <w:rsid w:val="7D772F67"/>
    <w:rsid w:val="7D883202"/>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23556"/>
    <w:rsid w:val="7F361C43"/>
    <w:rsid w:val="7F376DBE"/>
    <w:rsid w:val="7F435763"/>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73731"/>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13</Pages>
  <Words>1591</Words>
  <Characters>10099</Characters>
  <Lines>108</Lines>
  <Paragraphs>30</Paragraphs>
  <TotalTime>46</TotalTime>
  <ScaleCrop>false</ScaleCrop>
  <LinksUpToDate>false</LinksUpToDate>
  <CharactersWithSpaces>11673</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2026-04-16T14:05:29Z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