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F3864"/>
          <w:sz w:val="40"/>
          <w:szCs w:val="40"/>
        </w:rPr>
        <w:t xml:space="preserve">ELECTRONIC MEDICAL RECORDS</w:t>
      </w:r>
    </w:p>
    <w:p>
      <w:pPr>
        <w:spacing w:after="60"/>
        <w:jc w:val="center"/>
      </w:pPr>
      <w:r>
        <w:rPr>
          <w:b/>
          <w:bCs/>
          <w:color w:val="2E75B6"/>
          <w:sz w:val="30"/>
          <w:szCs w:val="30"/>
        </w:rPr>
        <w:t xml:space="preserve">ANALYTICS SYSTEM — BUSINESS REQUIREMENTS DOCUMENT</w:t>
      </w:r>
    </w:p>
    <w:p>
      <w:pPr>
        <w:spacing w:after="500"/>
        <w:jc w:val="center"/>
      </w:pPr>
      <w:r>
        <w:rPr>
          <w:i/>
          <w:iCs/>
          <w:color w:val="595959"/>
          <w:sz w:val="24"/>
          <w:szCs w:val="24"/>
        </w:rPr>
        <w:t xml:space="preserve">Phase 1 Scope — 4 Delivered Dashboards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cantSplit/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EMR Analytics System — BRD (Phase 1: 4 Dashboards)</w:t>
            </w:r>
          </w:p>
        </w:tc>
      </w:tr>
      <w:tr>
        <w:trPr>
          <w:cantSplit/>
        </w:trP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 — Final (Scoped)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Group 6 — Ananya, Shubham, Suraj</w:t>
            </w:r>
          </w:p>
        </w:tc>
      </w:tr>
      <w:tr>
        <w:trPr>
          <w:cantSplit/>
        </w:trP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September 2026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Dataset Records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10,000 Patients | 10,000 Visits | 1,000 Doctors</w:t>
            </w:r>
          </w:p>
        </w:tc>
      </w:tr>
      <w:tr>
        <w:trPr>
          <w:cantSplit/>
        </w:trP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Tables in Active Scope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Patient, Doctor, Department, Visit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Tables Deferred to Phase 2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Treatment, Lab Test, Billing, Insurance Claims</w:t>
            </w:r>
          </w:p>
        </w:tc>
      </w:tr>
      <w:tr>
        <w:trPr>
          <w:cantSplit/>
        </w:trP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 Tools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 | Tableau | Power BI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Confidential — Internal Use Only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1. Executive Summary</w:t>
      </w:r>
    </w:p>
    <w:p>
      <w:pPr>
        <w:spacing w:after="140"/>
      </w:pPr>
      <w:r>
        <w:rPr>
          <w:i w:val="false"/>
          <w:iCs w:val="false"/>
          <w:color w:val="1A1A1A"/>
          <w:sz w:val="21"/>
          <w:szCs w:val="21"/>
        </w:rPr>
        <w:t xml:space="preserve">This Business Requirements Document (BRD) defines the analytical requirements, KPI framework, and dashboard specifications for the four EMR dashboards delivered in Phase 1 of the Axon Healthcare Analytics project: Executive Overview, Patient Analytics, Clinical Operations, and Doctor Performance. It is a scoped-down version of the original 7-dashboard BRD, aligned to what has actually been built and presented.</w:t>
      </w:r>
    </w:p>
    <w:p>
      <w:pPr>
        <w:spacing w:after="140"/>
      </w:pPr>
      <w:r>
        <w:rPr>
          <w:i w:val="false"/>
          <w:iCs w:val="false"/>
          <w:color w:val="1A1A1A"/>
          <w:sz w:val="21"/>
          <w:szCs w:val="21"/>
        </w:rPr>
        <w:t xml:space="preserve">Three additional dashboards defined in the original BRD — Treatment &amp; Outcomes, Lab Test Analytics, and Financial &amp; Billing — are planned for a later phase and are summarized in Section 8 (Phase 2 Roadmap) but are out of scope for this document.</w:t>
      </w:r>
    </w:p>
    <w:p>
      <w:pPr>
        <w:pBdr>
          <w:top w:val="single" w:color="E0B400" w:sz="4"/>
          <w:bottom w:val="single" w:color="E0B400" w:sz="4"/>
          <w:left w:val="single" w:color="E0B400" w:sz="4"/>
          <w:right w:val="single" w:color="E0B400" w:sz="4"/>
        </w:pBdr>
        <w:shd w:fill="FFF3CD" w:val="clear"/>
        <w:spacing w:after="200" w:before="100"/>
      </w:pPr>
      <w:r>
        <w:rPr>
          <w:i/>
          <w:iCs/>
          <w:color w:val="6B5300"/>
          <w:sz w:val="20"/>
          <w:szCs w:val="20"/>
        </w:rPr>
        <w:t xml:space="preserve">All KPI values quoted in this document were independently recalculated from the source CSVs on September 6, 2026, and matched the presentation deck exactly — see Section 4 for figures and Section 9 for the verification note.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2. Project Scope &amp; Objectives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2.1 Business Objectives (Phase 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Give hospital management a real-time, high-level view of patient volume, visit activity, and headline financial/clinical performance (Executive Overview).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Give clinical and case-management staff visibility into patient demographics, chronic-condition burden, and risk profile (Patient Analytics).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Give department heads and nursing staff visibility into visit flow, cancellations, and follow-up compliance (Clinical Operations).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Give medical directors and HR visibility into doctor workload, completion rates, and outcome performance (Doctor Performance).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2.2 Scope Inclusions (Phase 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Patient demographics, chronic condition tracking, and basic risk indicators.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Visit analysis by type, status, diagnosis, and time period.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Doctor workload and completion/success-rate performance metrics.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Department-level aggregation of doctors and visit volume.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Headline (summary-only) revenue and treatment-outcome figures on the Executive Overview dashboard, sourced from Billing and Treatment tables at an aggregate level only — no drill-down financial or treatment dashboard is built in this phase.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2.3 Scope Exclusions (Phase 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Dedicated Treatment &amp; Outcomes dashboard (medication usage, cost breakdown, discontinued-treatment analysis) — Phase 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Dedicated Lab Test Analytics dashboard (abnormal-result trends, test-volume analysis) — Phase 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Dedicated Financial &amp; Billing dashboard (claims, payer performance, collections) — Phase 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Real-time patient monitoring, prescription management beyond Visit/Treatment tables, and regulatory (HIPAA/HL7) reporting — out of scope for both phases; data is for training/analytical use only.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3. Data Model &amp; Table Structure (Phase 1 Scope)</w:t>
      </w:r>
    </w:p>
    <w:p>
      <w:pPr>
        <w:spacing w:after="140"/>
      </w:pPr>
      <w:r>
        <w:rPr>
          <w:i w:val="false"/>
          <w:iCs w:val="false"/>
          <w:color w:val="1A1A1A"/>
          <w:sz w:val="21"/>
          <w:szCs w:val="21"/>
        </w:rPr>
        <w:t xml:space="preserve">Phase 1 dashboards draw from four tables. Treatment, Lab Test, Billing, and Insurance Claims exist in the underlying dataset and are referenced only at a headline/aggregate level on the Executive Overview dashboard; they are not separately modeled in this phase.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900"/>
        <w:gridCol w:w="1500"/>
        <w:gridCol w:w="2200"/>
        <w:gridCol w:w="18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Foreign Keys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Dimension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10,000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 demographics &amp; health profile</w:t>
            </w:r>
          </w:p>
        </w:tc>
      </w:tr>
      <w:tr>
        <w:trPr>
          <w:cantSplit/>
        </w:trP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</w:t>
            </w:r>
          </w:p>
        </w:tc>
        <w:tc>
          <w:tcPr>
            <w:tcW w:type="dxa" w:w="17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Dimension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1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 ID</w:t>
            </w:r>
          </w:p>
        </w:tc>
        <w:tc>
          <w:tcPr>
            <w:tcW w:type="dxa" w:w="2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ID → Department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 details, specialty, experience</w:t>
            </w:r>
          </w:p>
        </w:tc>
      </w:tr>
      <w:tr>
        <w:trPr>
          <w:cantSplit/>
        </w:trP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Lookup Dimension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grouping for doctors</w:t>
            </w:r>
          </w:p>
        </w:tc>
      </w:tr>
      <w:tr>
        <w:trPr>
          <w:cantSplit/>
        </w:trP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</w:t>
            </w:r>
          </w:p>
        </w:tc>
        <w:tc>
          <w:tcPr>
            <w:tcW w:type="dxa" w:w="17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Central Fact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10,000</w:t>
            </w:r>
          </w:p>
        </w:tc>
        <w:tc>
          <w:tcPr>
            <w:tcW w:type="dxa" w:w="1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 ID</w:t>
            </w:r>
          </w:p>
        </w:tc>
        <w:tc>
          <w:tcPr>
            <w:tcW w:type="dxa" w:w="2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 ID, Doctor ID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patient visits — hub of the Phase 1 model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3.1 Key Relationships (Star Schema — Phase 1)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Table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Column</w:t>
            </w:r>
          </w:p>
        </w:tc>
        <w:tc>
          <w:tcPr>
            <w:tcW w:type="dxa" w:w="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 Table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 Column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 ID</w:t>
            </w:r>
          </w:p>
        </w:tc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 ID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 ID</w:t>
            </w:r>
          </w:p>
        </w:tc>
        <w:tc>
          <w:tcPr>
            <w:tcW w:type="dxa" w:w="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 ID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ID</w:t>
            </w:r>
          </w:p>
        </w:tc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ID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Many : 1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4. KPI Framework (Phase 1 Dashboards)</w:t>
      </w:r>
    </w:p>
    <w:p>
      <w:pPr>
        <w:spacing w:after="140"/>
      </w:pPr>
      <w:r>
        <w:rPr>
          <w:i w:val="false"/>
          <w:iCs w:val="false"/>
          <w:color w:val="1A1A1A"/>
          <w:sz w:val="21"/>
          <w:szCs w:val="21"/>
        </w:rPr>
        <w:t xml:space="preserve">Each KPI below has been recalculated against the live dataset. Values in the "Actual Value" column matched the presentation deck exactly on verification.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4.1 Patient KPIs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000"/>
        <w:gridCol w:w="1300"/>
      </w:tblGrid>
      <w:tr>
        <w:trPr>
          <w:cantSplit/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Name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/ Logic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Value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Patients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COUNT(Patient ID)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10,000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Chronic Patients</w:t>
            </w:r>
          </w:p>
        </w:tc>
        <w:tc>
          <w:tcPr>
            <w:tcW w:type="dxa" w:w="2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 WHERE Patient Status = 'Chronic'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8,035</w:t>
            </w:r>
          </w:p>
        </w:tc>
        <w:tc>
          <w:tcPr>
            <w:tcW w:type="dxa" w:w="1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Chronic Patient Rate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Chronic / Total Patients × 100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80.35%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Patient Age</w:t>
            </w:r>
          </w:p>
        </w:tc>
        <w:tc>
          <w:tcPr>
            <w:tcW w:type="dxa" w:w="2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AVERAGE(Age)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48.94 yrs</w:t>
            </w:r>
          </w:p>
        </w:tc>
        <w:tc>
          <w:tcPr>
            <w:tcW w:type="dxa" w:w="1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 Distribution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 GROUP BY Gender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 34.0% | Female 33.1% | Male 32.8%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 Chronic Conditions</w:t>
            </w:r>
          </w:p>
        </w:tc>
        <w:tc>
          <w:tcPr>
            <w:tcW w:type="dxa" w:w="2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MODE(Chronic Conditions)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Hypertension (2,054), Diabetes (2,030), Asthma (1,990)</w:t>
            </w:r>
          </w:p>
        </w:tc>
        <w:tc>
          <w:tcPr>
            <w:tcW w:type="dxa" w:w="1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</w:rPr>
        <w:t xml:space="preserve">4.2 Visit KPIs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000"/>
        <w:gridCol w:w="1300"/>
      </w:tblGrid>
      <w:tr>
        <w:trPr>
          <w:cantSplit/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Name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/ Logic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Value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Visits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COUNT(Visit ID)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10,000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 Completion Rate</w:t>
            </w:r>
          </w:p>
        </w:tc>
        <w:tc>
          <w:tcPr>
            <w:tcW w:type="dxa" w:w="2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 / Total × 100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32.66%</w:t>
            </w:r>
          </w:p>
        </w:tc>
        <w:tc>
          <w:tcPr>
            <w:tcW w:type="dxa" w:w="1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 Cancellation Rate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Cancelled / Total × 100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33.44%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Follow-Up Rate</w:t>
            </w:r>
          </w:p>
        </w:tc>
        <w:tc>
          <w:tcPr>
            <w:tcW w:type="dxa" w:w="2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Follow Up Required = Yes / Total × 100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49.84%</w:t>
            </w:r>
          </w:p>
        </w:tc>
        <w:tc>
          <w:tcPr>
            <w:tcW w:type="dxa" w:w="1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 Diagnosis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MODE(Diagnosis)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Migraine — 2,039 visits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Visits by Type</w:t>
            </w:r>
          </w:p>
        </w:tc>
        <w:tc>
          <w:tcPr>
            <w:tcW w:type="dxa" w:w="2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 GROUP BY Visit Type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Specialist Consult 2,559 | Follow-up 2,521 | Routine 2,482 | Emergency 2,438</w:t>
            </w:r>
          </w:p>
        </w:tc>
        <w:tc>
          <w:tcPr>
            <w:tcW w:type="dxa" w:w="1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</w:rPr>
        <w:t xml:space="preserve">4.3 Doctor Performance KPIs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000"/>
        <w:gridCol w:w="1300"/>
      </w:tblGrid>
      <w:tr>
        <w:trPr>
          <w:cantSplit/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Name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/ Logic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Value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Doctors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COUNT(Doctor ID)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Avg Years of Experience</w:t>
            </w:r>
          </w:p>
        </w:tc>
        <w:tc>
          <w:tcPr>
            <w:tcW w:type="dxa" w:w="2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AVERAGE(Years Of Experience)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20.94 yrs</w:t>
            </w:r>
          </w:p>
        </w:tc>
        <w:tc>
          <w:tcPr>
            <w:tcW w:type="dxa" w:w="1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Visits per Doctor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COUNT(Visit ID) / COUNT(DISTINCT Doctor ID)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 avg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Doctors by Specialty (Top)</w:t>
            </w:r>
          </w:p>
        </w:tc>
        <w:tc>
          <w:tcPr>
            <w:tcW w:type="dxa" w:w="2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 GROUP BY Specialty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General Medicine 212 | Cardiology 208 | Pediatrics 204</w:t>
            </w:r>
          </w:p>
        </w:tc>
        <w:tc>
          <w:tcPr>
            <w:tcW w:type="dxa" w:w="1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 Completion Rate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COUNT(Completed) / COUNT(Visits) by Doctor 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Computed per doctor — see dashboard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</w:rPr>
        <w:t xml:space="preserve">4.4 Executive Headline KPIs (Aggregate-Level Only)</w:t>
      </w:r>
    </w:p>
    <w:p>
      <w:pPr>
        <w:spacing w:after="140"/>
      </w:pPr>
      <w:r>
        <w:rPr>
          <w:i w:val="false"/>
          <w:iCs w:val="false"/>
          <w:color w:val="1A1A1A"/>
          <w:sz w:val="21"/>
          <w:szCs w:val="21"/>
        </w:rPr>
        <w:t xml:space="preserve">These appear as summary cards on the Executive Overview dashboard only. They are sourced from Treatment and Billing but do not imply a dedicated dashboard for those domains in this phase.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2000"/>
        <w:gridCol w:w="1700"/>
      </w:tblGrid>
      <w:tr>
        <w:trPr>
          <w:cantSplit/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Name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/ Logic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Value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 Table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Treatment Success Rate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Successful / Total Treatment rows × 100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33.01%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Treatment (headline only)</w:t>
            </w:r>
          </w:p>
        </w:tc>
      </w:tr>
      <w:tr>
        <w:trPr>
          <w:cantSplit/>
        </w:trPr>
        <w:tc>
          <w:tcPr>
            <w:tcW w:type="dxa" w:w="2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Revenue Billed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SUM(Amount Billed)</w:t>
            </w:r>
          </w:p>
        </w:tc>
        <w:tc>
          <w:tcPr>
            <w:tcW w:type="dxa" w:w="2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$25.41M</w:t>
            </w:r>
          </w:p>
        </w:tc>
        <w:tc>
          <w:tcPr>
            <w:tcW w:type="dxa" w:w="17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Billing (headline only)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5. Dashboard Specifications (4 Delivered Dashboards)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Dashboard 1 — Executive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cantSplit/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Hospital CEO, Medical Director, Board of Directors</w:t>
            </w:r>
          </w:p>
        </w:tc>
      </w:tr>
      <w:tr>
        <w:trPr>
          <w:cantSplit/>
        </w:trP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High-level snapshot of patient volume, visit activity, treatment success, and revenue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Refresh Cadence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/ Quarterly</w:t>
            </w:r>
          </w:p>
        </w:tc>
      </w:tr>
      <w:tr>
        <w:trPr>
          <w:cantSplit/>
        </w:trP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Filters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 Range, Department, Specialty</w:t>
            </w:r>
          </w:p>
        </w:tc>
      </w:tr>
    </w:tbl>
    <w:p>
      <w:pPr>
        <w:spacing w:before="120"/>
      </w:pPr>
      <w:r>
        <w:rPr>
          <w:b/>
          <w:bCs/>
          <w:color w:val="1F3864"/>
          <w:sz w:val="20"/>
          <w:szCs w:val="20"/>
        </w:rPr>
        <w:t xml:space="preserve">Visuals &amp; KPIs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000"/>
      </w:tblGrid>
      <w:tr>
        <w:trPr>
          <w:cantSplit/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 Type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Fields Used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KPI Cards (4)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Patients | Total Visits | Completion Rate | Treatment Success Rate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Patient, Visit, Treatment</w:t>
            </w:r>
          </w:p>
        </w:tc>
      </w:tr>
      <w:tr>
        <w:trPr>
          <w:cantSplit/>
        </w:trPr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KPI Card</w:t>
            </w:r>
          </w:p>
        </w:tc>
        <w:tc>
          <w:tcPr>
            <w:tcW w:type="dxa" w:w="3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Revenue Billed ($25.41M)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 5 Diagnoses by Volume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Visit[Diagnosis], COUNT(Visit ID)</w:t>
            </w:r>
          </w:p>
        </w:tc>
      </w:tr>
      <w:tr>
        <w:trPr>
          <w:cantSplit/>
        </w:trPr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 / Line</w:t>
            </w:r>
          </w:p>
        </w:tc>
        <w:tc>
          <w:tcPr>
            <w:tcW w:type="dxa" w:w="3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 Status Split (Completed / Cancelled / Scheduled)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Visit[Visit Status]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</w:rPr>
        <w:t xml:space="preserve">Dashboard 2 — Patient Analytics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cantSplit/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Clinical Staff, Case Managers, Patient Relations</w:t>
            </w:r>
          </w:p>
        </w:tc>
      </w:tr>
      <w:tr>
        <w:trPr>
          <w:cantSplit/>
        </w:trP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 demographics, chronic-condition burden, and risk profile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Refresh Cadence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</w:tr>
      <w:tr>
        <w:trPr>
          <w:cantSplit/>
        </w:trP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Filters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Gender, Age Group, Chronic Condition</w:t>
            </w:r>
          </w:p>
        </w:tc>
      </w:tr>
    </w:tbl>
    <w:p>
      <w:pPr>
        <w:spacing w:before="120"/>
      </w:pPr>
      <w:r>
        <w:rPr>
          <w:b/>
          <w:bCs/>
          <w:color w:val="1F3864"/>
          <w:sz w:val="20"/>
          <w:szCs w:val="20"/>
        </w:rPr>
        <w:t xml:space="preserve">Visuals &amp; KPIs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000"/>
      </w:tblGrid>
      <w:tr>
        <w:trPr>
          <w:cantSplit/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 Type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Fields Used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KPI Cards (3)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Patients | Chronic Rate (80.35%) | Avg Age (48.94)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</w:t>
            </w:r>
          </w:p>
        </w:tc>
      </w:tr>
      <w:tr>
        <w:trPr>
          <w:cantSplit/>
        </w:trPr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3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Gender Split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Patient[Gender]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Chronic Condition Prevalence (Top 5)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Patient[Chronic Conditions]</w:t>
            </w:r>
          </w:p>
        </w:tc>
      </w:tr>
      <w:tr>
        <w:trPr>
          <w:cantSplit/>
        </w:trPr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3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Insurance Provider Distribution (Top 10)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Patient[Insurance Provider]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</w:rPr>
        <w:t xml:space="preserve">Dashboard 3 — Clinical Operations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cantSplit/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Heads, Clinical Coordinators, Nursing Staff</w:t>
            </w:r>
          </w:p>
        </w:tc>
      </w:tr>
      <w:tr>
        <w:trPr>
          <w:cantSplit/>
        </w:trP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 visit flow, cancellations, and follow-up compliance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Refresh Cadence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/ Weekly</w:t>
            </w:r>
          </w:p>
        </w:tc>
      </w:tr>
      <w:tr>
        <w:trPr>
          <w:cantSplit/>
        </w:trP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Filters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 Type, Visit Status, Doctor, Date Range</w:t>
            </w:r>
          </w:p>
        </w:tc>
      </w:tr>
    </w:tbl>
    <w:p>
      <w:pPr>
        <w:spacing w:before="120"/>
      </w:pPr>
      <w:r>
        <w:rPr>
          <w:b/>
          <w:bCs/>
          <w:color w:val="1F3864"/>
          <w:sz w:val="20"/>
          <w:szCs w:val="20"/>
        </w:rPr>
        <w:t xml:space="preserve">Visuals &amp; KPIs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000"/>
      </w:tblGrid>
      <w:tr>
        <w:trPr>
          <w:cantSplit/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 Type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Fields Used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KPI Cards (3)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Completion Rate (32.66%) | Cancellation Rate (33.44%) | Follow-Up Rate (49.84%)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</w:t>
            </w:r>
          </w:p>
        </w:tc>
      </w:tr>
      <w:tr>
        <w:trPr>
          <w:cantSplit/>
        </w:trPr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3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Visits by Type (Specialist / Follow-up / Routine / Emergency)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Visit[Visit Type]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Diagnosis Frequency — Top 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Visit[Diagnosis]</w:t>
            </w:r>
          </w:p>
        </w:tc>
      </w:tr>
      <w:tr>
        <w:trPr>
          <w:cantSplit/>
        </w:trPr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</w:t>
            </w:r>
          </w:p>
        </w:tc>
        <w:tc>
          <w:tcPr>
            <w:tcW w:type="dxa" w:w="3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Visits Requiring Follow-Up — Patient List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 WHERE Follow Up = Yes + Patient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</w:rPr>
        <w:t xml:space="preserve">Dashboard 4 — Doctor Performance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cantSplit/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Medical Director, HR, Department Heads</w:t>
            </w:r>
          </w:p>
        </w:tc>
      </w:tr>
      <w:tr>
        <w:trPr>
          <w:cantSplit/>
        </w:trP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 doctor workload, completion, and outcome performance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Refresh Cadence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</w:tr>
      <w:tr>
        <w:trPr>
          <w:cantSplit/>
        </w:trP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Filters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Specialty, Department, Doctor Name</w:t>
            </w:r>
          </w:p>
        </w:tc>
      </w:tr>
    </w:tbl>
    <w:p>
      <w:pPr>
        <w:spacing w:before="120"/>
      </w:pPr>
      <w:r>
        <w:rPr>
          <w:b/>
          <w:bCs/>
          <w:color w:val="1F3864"/>
          <w:sz w:val="20"/>
          <w:szCs w:val="20"/>
        </w:rPr>
        <w:t xml:space="preserve">Visuals &amp; KPIs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000"/>
      </w:tblGrid>
      <w:tr>
        <w:trPr>
          <w:cantSplit/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 Type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Fields Used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KPI Cards (3)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Doctors (1,000) | Avg Experience (20.94 yrs) | Avg Visits/Doctor (10.0)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 + Visit</w:t>
            </w:r>
          </w:p>
        </w:tc>
      </w:tr>
      <w:tr>
        <w:trPr>
          <w:cantSplit/>
        </w:trPr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3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Doctors by Specialty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Doctor[Specialty]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 Completion Rate Ranking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 + Doctor</w:t>
            </w:r>
          </w:p>
        </w:tc>
      </w:tr>
      <w:tr>
        <w:trPr>
          <w:cantSplit/>
        </w:trPr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3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 Distribution by Department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 + Department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6. Dashboard Summary Matrix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000"/>
        <w:gridCol w:w="2900"/>
        <w:gridCol w:w="1900"/>
      </w:tblGrid>
      <w:tr>
        <w:trPr>
          <w:cantSplit/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Dashboard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KPIs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Visuals</w:t>
            </w:r>
          </w:p>
        </w:tc>
      </w:tr>
      <w:tr>
        <w:trPr>
          <w:cantSplit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Executive Overview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CEO / Board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Patients, Visits, Completion, Treatment Success, Revenue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KPI Cards, Bar, Line</w:t>
            </w:r>
          </w:p>
        </w:tc>
      </w:tr>
      <w:tr>
        <w:trPr>
          <w:cantSplit/>
        </w:trPr>
        <w:tc>
          <w:tcPr>
            <w:tcW w:type="dxa" w:w="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Patient Analytics</w:t>
            </w:r>
          </w:p>
        </w:tc>
        <w:tc>
          <w:tcPr>
            <w:tcW w:type="dxa" w:w="2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Clinical / Case Mgmt</w:t>
            </w:r>
          </w:p>
        </w:tc>
        <w:tc>
          <w:tcPr>
            <w:tcW w:type="dxa" w:w="2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Chronic Rate, Avg Age, Gender Split</w:t>
            </w:r>
          </w:p>
        </w:tc>
        <w:tc>
          <w:tcPr>
            <w:tcW w:type="dxa" w:w="1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KPI Cards, Donut, Bar</w:t>
            </w:r>
          </w:p>
        </w:tc>
      </w:tr>
      <w:tr>
        <w:trPr>
          <w:cantSplit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Clinical Operations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Dept Heads / Nurses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Completion, Cancellation, Follow-Up Rate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KPI Cards, Bar, Table</w:t>
            </w:r>
          </w:p>
        </w:tc>
      </w:tr>
      <w:tr>
        <w:trPr>
          <w:cantSplit/>
        </w:trPr>
        <w:tc>
          <w:tcPr>
            <w:tcW w:type="dxa" w:w="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Doctor Performance</w:t>
            </w:r>
          </w:p>
        </w:tc>
        <w:tc>
          <w:tcPr>
            <w:tcW w:type="dxa" w:w="2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Medical Director / HR</w:t>
            </w:r>
          </w:p>
        </w:tc>
        <w:tc>
          <w:tcPr>
            <w:tcW w:type="dxa" w:w="2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Visits/Doctor, Experience, Completion Rate</w:t>
            </w:r>
          </w:p>
        </w:tc>
        <w:tc>
          <w:tcPr>
            <w:tcW w:type="dxa" w:w="1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KPI Cards, Bar, Donut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7. Implementation Notes (Phase 1)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7.1 Recommended Join 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Step 1: Load Department (smallest dimension — 5 rows).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Step 2: Load Doctor → link Department ID to Department.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Step 3: Load Patient.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Step 4: Load Visit → link Patient ID to Patient, Doctor ID to Doctor.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Treatment and Billing are loaded only as flat summary aggregates for the two Executive headline cards — do not build full relationships to them until Phase 2.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7.2 Calculated Columns to Add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Age Group: IF Age &lt;= 20 'Youth' ELIF Age &lt;= 40 'Young Adult' ELIF Age &lt;= 60 'Adult' ELSE 'Senior'.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Visit Month-Year: FORMAT(Visit Date, 'MMM YYYY') for time-axis labels.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8. Phase 2 Roadmap (Not Yet Built)</w:t>
      </w:r>
    </w:p>
    <w:p>
      <w:pPr>
        <w:spacing w:after="140"/>
      </w:pPr>
      <w:r>
        <w:rPr>
          <w:i w:val="false"/>
          <w:iCs w:val="false"/>
          <w:color w:val="1A1A1A"/>
          <w:sz w:val="21"/>
          <w:szCs w:val="21"/>
        </w:rPr>
        <w:t xml:space="preserve">The following three dashboards are defined in the full project BRD and are planned for a later phase. They are listed here for continuity only — no design or KPI work against them is in scope for this document.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4100"/>
      </w:tblGrid>
      <w:tr>
        <w:trPr>
          <w:cantSplit/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Dashboard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4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Data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Treatment &amp; Outcomes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QA / Clinical Staff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Treatment (10,000 rows)</w:t>
            </w:r>
          </w:p>
        </w:tc>
      </w:tr>
      <w:tr>
        <w:trPr>
          <w:cantSplit/>
        </w:trPr>
        <w:tc>
          <w:tcPr>
            <w:tcW w:type="dxa" w:w="27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 Test Analytics</w:t>
            </w:r>
          </w:p>
        </w:tc>
        <w:tc>
          <w:tcPr>
            <w:tcW w:type="dxa" w:w="27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 Dept / Radiologists</w:t>
            </w:r>
          </w:p>
        </w:tc>
        <w:tc>
          <w:tcPr>
            <w:tcW w:type="dxa" w:w="41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 Test (10,000 rows)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 &amp; Billing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CFO / Finance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Billing (10,000 rows) + Insurance Claims (10,000 rows)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9. Data Verification Note</w:t>
      </w:r>
    </w:p>
    <w:p>
      <w:pPr>
        <w:spacing w:after="140"/>
      </w:pPr>
      <w:r>
        <w:rPr>
          <w:i w:val="false"/>
          <w:iCs w:val="false"/>
          <w:color w:val="1A1A1A"/>
          <w:sz w:val="21"/>
          <w:szCs w:val="21"/>
        </w:rPr>
        <w:t xml:space="preserve">All KPI figures in Sections 4 and 5 were recalculated directly from the source CSVs (Patient.csv, Visit.csv, Doctor.csv, Department.csv, Treatment.csv, Billing.csv) on the date this document was prepared, and matched the presentation deck's figures exactly — no discrepancies were found.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10. Document Approval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rPr>
          <w:cantSplit/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 Lead / Author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Group 6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September 2026</w:t>
            </w:r>
          </w:p>
        </w:tc>
      </w:tr>
      <w:tr>
        <w:trPr>
          <w:cantSplit/>
        </w:trP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  <w:jc w:val="center"/>
      </w:pPr>
      <w:r>
        <w:rPr>
          <w:i/>
          <w:iCs/>
          <w:color w:val="595959"/>
          <w:sz w:val="18"/>
          <w:szCs w:val="18"/>
        </w:rPr>
        <w:t xml:space="preserve">EMR Analytics System — Business Requirements Document (Phase 1: 4 Dashboards)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Version 1.0 | September 2026 | Confidential —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2026-09-06T17:21:32.988Z</dcterms:created>
  <dcterms:modified xsi:type="dcterms:W3CDTF">2026-09-06T17:21:32.988Z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