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6E781" w14:textId="0829E6FF" w:rsidR="00B747EE" w:rsidRPr="00D94181" w:rsidRDefault="00B747EE">
      <w:pPr>
        <w:rPr>
          <w:rFonts w:ascii="Cambria" w:hAnsi="Cambria"/>
          <w:sz w:val="20"/>
          <w:szCs w:val="20"/>
        </w:rPr>
      </w:pPr>
      <w:r w:rsidRPr="00D94181">
        <w:rPr>
          <w:rFonts w:ascii="Cambria" w:hAnsi="Cambria"/>
          <w:sz w:val="20"/>
          <w:szCs w:val="20"/>
        </w:rPr>
        <w:t xml:space="preserve">Title: </w:t>
      </w:r>
      <w:r w:rsidRPr="00D94181">
        <w:rPr>
          <w:rFonts w:ascii="Calibri" w:hAnsi="Calibri" w:cs="Calibri"/>
          <w:sz w:val="20"/>
          <w:szCs w:val="20"/>
        </w:rPr>
        <w:t>﻿</w:t>
      </w:r>
      <w:r w:rsidRPr="00D94181">
        <w:rPr>
          <w:rFonts w:ascii="Cambria" w:hAnsi="Cambria"/>
          <w:sz w:val="20"/>
          <w:szCs w:val="20"/>
        </w:rPr>
        <w:t xml:space="preserve">Working memory, negative affect and personal assets: How do they relate to mathematics and reading literacy? </w:t>
      </w:r>
    </w:p>
    <w:p w14:paraId="4A8F78A3" w14:textId="7D13E14C" w:rsidR="00B747EE" w:rsidRPr="00D94181" w:rsidRDefault="00B747EE">
      <w:pPr>
        <w:rPr>
          <w:rFonts w:ascii="Cambria" w:hAnsi="Cambria"/>
          <w:sz w:val="20"/>
          <w:szCs w:val="20"/>
        </w:rPr>
      </w:pPr>
    </w:p>
    <w:p w14:paraId="7EB729E0" w14:textId="0F026B58" w:rsidR="00B747EE" w:rsidRPr="00D94181" w:rsidRDefault="00B747EE" w:rsidP="00B747EE">
      <w:pPr>
        <w:rPr>
          <w:rFonts w:ascii="Cambria" w:hAnsi="Cambria"/>
          <w:sz w:val="20"/>
          <w:szCs w:val="20"/>
        </w:rPr>
      </w:pPr>
      <w:r w:rsidRPr="00D94181">
        <w:rPr>
          <w:rFonts w:ascii="Cambria" w:hAnsi="Cambria"/>
          <w:sz w:val="20"/>
          <w:szCs w:val="20"/>
        </w:rPr>
        <w:t xml:space="preserve">Author(s): </w:t>
      </w:r>
      <w:r w:rsidRPr="00D94181">
        <w:rPr>
          <w:rFonts w:ascii="Calibri" w:hAnsi="Calibri" w:cs="Calibri"/>
          <w:sz w:val="20"/>
          <w:szCs w:val="20"/>
        </w:rPr>
        <w:t>﻿</w:t>
      </w:r>
      <w:proofErr w:type="spellStart"/>
      <w:r w:rsidRPr="00D94181">
        <w:rPr>
          <w:rFonts w:ascii="Cambria" w:hAnsi="Cambria"/>
          <w:sz w:val="20"/>
          <w:szCs w:val="20"/>
        </w:rPr>
        <w:t>Enrica</w:t>
      </w:r>
      <w:proofErr w:type="spellEnd"/>
      <w:r w:rsidRPr="00D94181">
        <w:rPr>
          <w:rFonts w:ascii="Cambria" w:hAnsi="Cambria"/>
          <w:sz w:val="20"/>
          <w:szCs w:val="20"/>
        </w:rPr>
        <w:t xml:space="preserve"> </w:t>
      </w:r>
      <w:proofErr w:type="spellStart"/>
      <w:r w:rsidRPr="00D94181">
        <w:rPr>
          <w:rFonts w:ascii="Cambria" w:hAnsi="Cambria"/>
          <w:sz w:val="20"/>
          <w:szCs w:val="20"/>
        </w:rPr>
        <w:t>Donolato</w:t>
      </w:r>
      <w:proofErr w:type="spellEnd"/>
      <w:r w:rsidRPr="00D94181">
        <w:rPr>
          <w:rFonts w:ascii="Cambria" w:hAnsi="Cambria"/>
          <w:sz w:val="20"/>
          <w:szCs w:val="20"/>
        </w:rPr>
        <w:t xml:space="preserve">, David </w:t>
      </w:r>
      <w:proofErr w:type="spellStart"/>
      <w:r w:rsidRPr="00D94181">
        <w:rPr>
          <w:rFonts w:ascii="Cambria" w:hAnsi="Cambria"/>
          <w:sz w:val="20"/>
          <w:szCs w:val="20"/>
        </w:rPr>
        <w:t>Giofrè</w:t>
      </w:r>
      <w:proofErr w:type="spellEnd"/>
      <w:r w:rsidRPr="00D94181">
        <w:rPr>
          <w:rFonts w:ascii="Cambria" w:hAnsi="Cambria"/>
          <w:sz w:val="20"/>
          <w:szCs w:val="20"/>
        </w:rPr>
        <w:t>, Irene C. Mammarella</w:t>
      </w:r>
    </w:p>
    <w:p w14:paraId="301CB81B" w14:textId="045B17F1" w:rsidR="00B747EE" w:rsidRPr="00D94181" w:rsidRDefault="00B747EE">
      <w:pPr>
        <w:rPr>
          <w:rFonts w:ascii="Cambria" w:hAnsi="Cambria"/>
          <w:sz w:val="20"/>
          <w:szCs w:val="20"/>
        </w:rPr>
      </w:pPr>
      <w:r w:rsidRPr="00D94181">
        <w:rPr>
          <w:rFonts w:ascii="Cambria" w:hAnsi="Cambria"/>
          <w:sz w:val="20"/>
          <w:szCs w:val="20"/>
        </w:rPr>
        <w:t>Journal: PLOS ONE</w:t>
      </w:r>
    </w:p>
    <w:p w14:paraId="1A359F8D" w14:textId="55E007A8" w:rsidR="00B747EE" w:rsidRPr="00D94181" w:rsidRDefault="00B747EE">
      <w:pPr>
        <w:rPr>
          <w:rFonts w:ascii="Cambria" w:hAnsi="Cambria"/>
          <w:sz w:val="20"/>
          <w:szCs w:val="20"/>
        </w:rPr>
      </w:pPr>
      <w:r w:rsidRPr="00D94181">
        <w:rPr>
          <w:rFonts w:ascii="Cambria" w:hAnsi="Cambria"/>
          <w:sz w:val="20"/>
          <w:szCs w:val="20"/>
        </w:rPr>
        <w:t>Publication:</w:t>
      </w:r>
    </w:p>
    <w:p w14:paraId="2B4E43AF" w14:textId="26CFA6AD" w:rsidR="00B747EE" w:rsidRPr="00D94181" w:rsidRDefault="00B747EE">
      <w:pPr>
        <w:rPr>
          <w:rFonts w:ascii="Cambria" w:hAnsi="Cambria"/>
          <w:sz w:val="20"/>
          <w:szCs w:val="20"/>
        </w:rPr>
      </w:pPr>
      <w:r w:rsidRPr="00D94181">
        <w:rPr>
          <w:rFonts w:ascii="Cambria" w:hAnsi="Cambria"/>
          <w:sz w:val="20"/>
          <w:szCs w:val="20"/>
        </w:rPr>
        <w:t>Publication Date: June 2019</w:t>
      </w:r>
    </w:p>
    <w:p w14:paraId="66E14EAC" w14:textId="4C2985B4" w:rsidR="00B747EE" w:rsidRPr="00D94181" w:rsidRDefault="00B747EE" w:rsidP="00B747EE">
      <w:pPr>
        <w:rPr>
          <w:rFonts w:ascii="Cambria" w:hAnsi="Cambria"/>
          <w:sz w:val="20"/>
          <w:szCs w:val="20"/>
        </w:rPr>
      </w:pPr>
      <w:r w:rsidRPr="00D94181">
        <w:rPr>
          <w:rFonts w:ascii="Cambria" w:hAnsi="Cambria"/>
          <w:sz w:val="20"/>
          <w:szCs w:val="20"/>
        </w:rPr>
        <w:t xml:space="preserve">APA Citation: Donolato, E., </w:t>
      </w:r>
      <w:proofErr w:type="spellStart"/>
      <w:r w:rsidRPr="00D94181">
        <w:rPr>
          <w:rFonts w:ascii="Cambria" w:hAnsi="Cambria"/>
          <w:sz w:val="20"/>
          <w:szCs w:val="20"/>
        </w:rPr>
        <w:t>Giofr</w:t>
      </w:r>
      <w:r w:rsidR="00262F9B" w:rsidRPr="00D94181">
        <w:rPr>
          <w:rFonts w:ascii="Cambria" w:hAnsi="Cambria"/>
          <w:sz w:val="20"/>
          <w:szCs w:val="20"/>
        </w:rPr>
        <w:t>è</w:t>
      </w:r>
      <w:proofErr w:type="spellEnd"/>
      <w:r w:rsidRPr="00D94181">
        <w:rPr>
          <w:rFonts w:ascii="Cambria" w:hAnsi="Cambria"/>
          <w:sz w:val="20"/>
          <w:szCs w:val="20"/>
        </w:rPr>
        <w:t xml:space="preserve"> D., Mammarella, I. C. (2019). Working memory, negative affect and personal assets: How do they relate to mathematics and reading </w:t>
      </w:r>
      <w:proofErr w:type="gramStart"/>
      <w:r w:rsidRPr="00D94181">
        <w:rPr>
          <w:rFonts w:ascii="Cambria" w:hAnsi="Cambria"/>
          <w:sz w:val="20"/>
          <w:szCs w:val="20"/>
        </w:rPr>
        <w:t>literacy?,</w:t>
      </w:r>
      <w:proofErr w:type="gramEnd"/>
      <w:r w:rsidRPr="00D94181">
        <w:rPr>
          <w:rFonts w:ascii="Cambria" w:hAnsi="Cambria"/>
          <w:sz w:val="20"/>
          <w:szCs w:val="20"/>
        </w:rPr>
        <w:t xml:space="preserve"> 14(6), e0218921</w:t>
      </w:r>
    </w:p>
    <w:p w14:paraId="4E7661CA" w14:textId="35B21A28" w:rsidR="00B747EE" w:rsidRPr="00D94181" w:rsidRDefault="00B747EE">
      <w:pPr>
        <w:rPr>
          <w:rFonts w:ascii="Cambria" w:hAnsi="Cambria"/>
          <w:sz w:val="20"/>
          <w:szCs w:val="20"/>
        </w:rPr>
      </w:pPr>
    </w:p>
    <w:p w14:paraId="0CA24910" w14:textId="7952CAFE" w:rsidR="00B747EE" w:rsidRPr="00D94181" w:rsidRDefault="00B747EE">
      <w:pPr>
        <w:rPr>
          <w:rFonts w:ascii="Cambria" w:hAnsi="Cambria"/>
          <w:sz w:val="20"/>
          <w:szCs w:val="20"/>
        </w:rPr>
      </w:pPr>
      <w:r w:rsidRPr="00D94181">
        <w:rPr>
          <w:rFonts w:ascii="Cambria" w:hAnsi="Cambria"/>
          <w:sz w:val="20"/>
          <w:szCs w:val="20"/>
        </w:rPr>
        <w:t>Summary:</w:t>
      </w:r>
    </w:p>
    <w:p w14:paraId="7026A8FF" w14:textId="77777777" w:rsidR="00B747EE" w:rsidRPr="00D94181" w:rsidRDefault="00B747EE" w:rsidP="00B747EE">
      <w:pPr>
        <w:rPr>
          <w:rFonts w:ascii="Cambria" w:hAnsi="Cambria"/>
          <w:sz w:val="20"/>
          <w:szCs w:val="20"/>
        </w:rPr>
      </w:pPr>
      <w:r w:rsidRPr="00D94181">
        <w:rPr>
          <w:rFonts w:ascii="Cambria" w:hAnsi="Cambria"/>
          <w:sz w:val="20"/>
          <w:szCs w:val="20"/>
        </w:rPr>
        <w:tab/>
        <w:t>The main purpose of this study was to investigate specific contributions of</w:t>
      </w:r>
    </w:p>
    <w:p w14:paraId="17B29776" w14:textId="77777777" w:rsidR="00B747EE" w:rsidRPr="00D94181" w:rsidRDefault="00B747EE" w:rsidP="00B747EE">
      <w:pPr>
        <w:pStyle w:val="ListParagraph"/>
        <w:numPr>
          <w:ilvl w:val="0"/>
          <w:numId w:val="1"/>
        </w:numPr>
        <w:rPr>
          <w:rFonts w:ascii="Cambria" w:hAnsi="Cambria"/>
          <w:sz w:val="20"/>
          <w:szCs w:val="20"/>
        </w:rPr>
      </w:pPr>
      <w:r w:rsidRPr="00D94181">
        <w:rPr>
          <w:rFonts w:ascii="Cambria" w:hAnsi="Cambria"/>
          <w:sz w:val="20"/>
          <w:szCs w:val="20"/>
        </w:rPr>
        <w:t>negative affect (i.e., general anxiety and depressive symptoms)</w:t>
      </w:r>
    </w:p>
    <w:p w14:paraId="5C74709C" w14:textId="77777777" w:rsidR="00B747EE" w:rsidRPr="00D94181" w:rsidRDefault="00B747EE" w:rsidP="00B747EE">
      <w:pPr>
        <w:pStyle w:val="ListParagraph"/>
        <w:numPr>
          <w:ilvl w:val="0"/>
          <w:numId w:val="1"/>
        </w:numPr>
        <w:rPr>
          <w:rFonts w:ascii="Cambria" w:hAnsi="Cambria"/>
          <w:sz w:val="20"/>
          <w:szCs w:val="20"/>
        </w:rPr>
      </w:pPr>
      <w:r w:rsidRPr="00D94181">
        <w:rPr>
          <w:rFonts w:ascii="Cambria" w:hAnsi="Cambria"/>
          <w:sz w:val="20"/>
          <w:szCs w:val="20"/>
        </w:rPr>
        <w:t>working memory (WM)</w:t>
      </w:r>
    </w:p>
    <w:p w14:paraId="4A1350F4" w14:textId="77777777" w:rsidR="00B747EE" w:rsidRPr="00D94181" w:rsidRDefault="00B747EE" w:rsidP="00B747EE">
      <w:pPr>
        <w:pStyle w:val="ListParagraph"/>
        <w:numPr>
          <w:ilvl w:val="0"/>
          <w:numId w:val="1"/>
        </w:numPr>
        <w:rPr>
          <w:rFonts w:ascii="Cambria" w:hAnsi="Cambria"/>
          <w:sz w:val="20"/>
          <w:szCs w:val="20"/>
        </w:rPr>
      </w:pPr>
      <w:r w:rsidRPr="00D94181">
        <w:rPr>
          <w:rFonts w:ascii="Cambria" w:hAnsi="Cambria"/>
          <w:sz w:val="20"/>
          <w:szCs w:val="20"/>
        </w:rPr>
        <w:t>personal assets (i.e., self-concept, academic and competence dimensions, and ego-resiliency)</w:t>
      </w:r>
    </w:p>
    <w:p w14:paraId="6D209775" w14:textId="77777777" w:rsidR="008B0B8C" w:rsidRPr="00D94181" w:rsidRDefault="008B0B8C" w:rsidP="008B0B8C">
      <w:pPr>
        <w:rPr>
          <w:rFonts w:ascii="Cambria" w:hAnsi="Cambria"/>
          <w:sz w:val="20"/>
          <w:szCs w:val="20"/>
        </w:rPr>
      </w:pPr>
      <w:r w:rsidRPr="00D94181">
        <w:rPr>
          <w:rFonts w:ascii="Cambria" w:hAnsi="Cambria"/>
          <w:sz w:val="20"/>
          <w:szCs w:val="20"/>
        </w:rPr>
        <w:tab/>
      </w:r>
      <w:r w:rsidR="00B747EE" w:rsidRPr="00D94181">
        <w:rPr>
          <w:rFonts w:ascii="Cambria" w:hAnsi="Cambria"/>
          <w:sz w:val="20"/>
          <w:szCs w:val="20"/>
        </w:rPr>
        <w:t>to mathematics and reading literacy in middle school students.</w:t>
      </w:r>
    </w:p>
    <w:p w14:paraId="73539A65" w14:textId="77777777" w:rsidR="00262F9B" w:rsidRPr="00D94181" w:rsidRDefault="00B747EE" w:rsidP="00262F9B">
      <w:pPr>
        <w:rPr>
          <w:rFonts w:ascii="Cambria" w:hAnsi="Cambria"/>
          <w:sz w:val="20"/>
          <w:szCs w:val="20"/>
        </w:rPr>
      </w:pPr>
      <w:r w:rsidRPr="00D94181">
        <w:rPr>
          <w:rFonts w:ascii="Cambria" w:hAnsi="Cambria"/>
          <w:sz w:val="20"/>
          <w:szCs w:val="20"/>
        </w:rPr>
        <w:t>It was hypothesized that negative affect and personal assets would explain a unique portion of variance in both mathematics and reading literacy; WM would explain a large and consistent unique variance. Despite of the paucity of research comparing mathematics and reading literacy</w:t>
      </w:r>
      <w:r w:rsidR="008B0B8C" w:rsidRPr="00D94181">
        <w:rPr>
          <w:rFonts w:ascii="Cambria" w:hAnsi="Cambria"/>
          <w:sz w:val="20"/>
          <w:szCs w:val="20"/>
        </w:rPr>
        <w:t>, t</w:t>
      </w:r>
      <w:r w:rsidRPr="00D94181">
        <w:rPr>
          <w:rFonts w:ascii="Cambria" w:hAnsi="Cambria"/>
          <w:sz w:val="20"/>
          <w:szCs w:val="20"/>
        </w:rPr>
        <w:t>he overall variance would be consistent for both academic domains</w:t>
      </w:r>
      <w:r w:rsidR="008B0B8C" w:rsidRPr="00D94181">
        <w:rPr>
          <w:rFonts w:ascii="Cambria" w:hAnsi="Cambria"/>
          <w:sz w:val="20"/>
          <w:szCs w:val="20"/>
        </w:rPr>
        <w:t xml:space="preserve"> while possible differences might lie on working memory capacity.</w:t>
      </w:r>
    </w:p>
    <w:p w14:paraId="51AD382C" w14:textId="77777777" w:rsidR="00262F9B" w:rsidRPr="00D94181" w:rsidRDefault="00262F9B" w:rsidP="008B0B8C">
      <w:pPr>
        <w:rPr>
          <w:rFonts w:ascii="Cambria" w:hAnsi="Cambria"/>
          <w:sz w:val="20"/>
          <w:szCs w:val="20"/>
        </w:rPr>
      </w:pPr>
      <w:r w:rsidRPr="00D94181">
        <w:rPr>
          <w:rFonts w:ascii="Cambria" w:hAnsi="Cambria"/>
          <w:sz w:val="20"/>
          <w:szCs w:val="20"/>
        </w:rPr>
        <w:tab/>
        <w:t>With Confirmatory factor analyses (CFAs) and Decomposition Analysis, different materials were used in order to examine negative affect, personal assets, WM, and mathematics and reading literacy.</w:t>
      </w:r>
    </w:p>
    <w:p w14:paraId="77AA62A7" w14:textId="1E5E80B5" w:rsidR="00262F9B" w:rsidRPr="00D94181" w:rsidRDefault="00262F9B" w:rsidP="008B0B8C">
      <w:pPr>
        <w:rPr>
          <w:rFonts w:ascii="Cambria" w:hAnsi="Cambria"/>
          <w:sz w:val="20"/>
          <w:szCs w:val="20"/>
        </w:rPr>
      </w:pPr>
      <w:r w:rsidRPr="00D94181">
        <w:rPr>
          <w:rFonts w:ascii="Cambria" w:hAnsi="Cambria"/>
          <w:sz w:val="20"/>
          <w:szCs w:val="20"/>
        </w:rPr>
        <w:tab/>
        <w:t>1) For negative affect</w:t>
      </w:r>
    </w:p>
    <w:tbl>
      <w:tblPr>
        <w:tblStyle w:val="TableGrid"/>
        <w:tblW w:w="10257" w:type="dxa"/>
        <w:tblLook w:val="04A0" w:firstRow="1" w:lastRow="0" w:firstColumn="1" w:lastColumn="0" w:noHBand="0" w:noVBand="1"/>
      </w:tblPr>
      <w:tblGrid>
        <w:gridCol w:w="3419"/>
        <w:gridCol w:w="3419"/>
        <w:gridCol w:w="3419"/>
      </w:tblGrid>
      <w:tr w:rsidR="00D94181" w:rsidRPr="00D94181" w14:paraId="480887EB" w14:textId="39898A94" w:rsidTr="00D94181">
        <w:trPr>
          <w:trHeight w:val="146"/>
        </w:trPr>
        <w:tc>
          <w:tcPr>
            <w:tcW w:w="3419" w:type="dxa"/>
            <w:vAlign w:val="center"/>
          </w:tcPr>
          <w:p w14:paraId="6F64E5CE" w14:textId="17D6D1F5" w:rsidR="00D94181" w:rsidRPr="00D94181" w:rsidRDefault="00D94181" w:rsidP="00262F9B">
            <w:pPr>
              <w:jc w:val="center"/>
              <w:rPr>
                <w:rFonts w:ascii="Cambria" w:hAnsi="Cambria"/>
                <w:sz w:val="20"/>
                <w:szCs w:val="20"/>
              </w:rPr>
            </w:pPr>
            <w:r w:rsidRPr="00D94181">
              <w:rPr>
                <w:rFonts w:ascii="Cambria" w:hAnsi="Cambria"/>
                <w:sz w:val="20"/>
                <w:szCs w:val="20"/>
              </w:rPr>
              <w:t>Material</w:t>
            </w:r>
          </w:p>
        </w:tc>
        <w:tc>
          <w:tcPr>
            <w:tcW w:w="3419" w:type="dxa"/>
            <w:vAlign w:val="center"/>
          </w:tcPr>
          <w:p w14:paraId="3BF33CAB" w14:textId="392D7825" w:rsidR="00D94181" w:rsidRPr="00D94181" w:rsidRDefault="00D94181" w:rsidP="00D94181">
            <w:pPr>
              <w:jc w:val="center"/>
              <w:rPr>
                <w:rFonts w:ascii="Cambria" w:hAnsi="Cambria"/>
                <w:sz w:val="20"/>
                <w:szCs w:val="20"/>
              </w:rPr>
            </w:pPr>
            <w:r w:rsidRPr="00D94181">
              <w:rPr>
                <w:rFonts w:ascii="Cambria" w:hAnsi="Cambria"/>
                <w:sz w:val="20"/>
                <w:szCs w:val="20"/>
              </w:rPr>
              <w:t>Reference</w:t>
            </w:r>
          </w:p>
        </w:tc>
        <w:tc>
          <w:tcPr>
            <w:tcW w:w="3419" w:type="dxa"/>
            <w:vAlign w:val="center"/>
          </w:tcPr>
          <w:p w14:paraId="6C962D59" w14:textId="2DF73018" w:rsidR="00D94181" w:rsidRPr="00D94181" w:rsidRDefault="00D94181" w:rsidP="00D94181">
            <w:pPr>
              <w:jc w:val="center"/>
              <w:rPr>
                <w:rFonts w:ascii="Cambria" w:hAnsi="Cambria"/>
                <w:sz w:val="20"/>
                <w:szCs w:val="20"/>
              </w:rPr>
            </w:pPr>
            <w:r w:rsidRPr="00D94181">
              <w:rPr>
                <w:rFonts w:ascii="Cambria" w:hAnsi="Cambria"/>
                <w:sz w:val="20"/>
                <w:szCs w:val="20"/>
              </w:rPr>
              <w:t>To test</w:t>
            </w:r>
          </w:p>
        </w:tc>
      </w:tr>
      <w:tr w:rsidR="00D94181" w:rsidRPr="00D94181" w14:paraId="76C8091A" w14:textId="5856AA83" w:rsidTr="00D94181">
        <w:trPr>
          <w:trHeight w:val="314"/>
        </w:trPr>
        <w:tc>
          <w:tcPr>
            <w:tcW w:w="3419" w:type="dxa"/>
            <w:vAlign w:val="center"/>
          </w:tcPr>
          <w:p w14:paraId="0A53232F" w14:textId="26E51E16" w:rsidR="00D94181" w:rsidRPr="00D94181" w:rsidRDefault="00D94181" w:rsidP="00D94181">
            <w:pPr>
              <w:jc w:val="center"/>
              <w:rPr>
                <w:rFonts w:ascii="Cambria" w:hAnsi="Cambria"/>
                <w:sz w:val="20"/>
                <w:szCs w:val="20"/>
              </w:rPr>
            </w:pPr>
            <w:r w:rsidRPr="00D94181">
              <w:rPr>
                <w:rFonts w:ascii="Cambria" w:hAnsi="Cambria"/>
                <w:sz w:val="20"/>
                <w:szCs w:val="20"/>
              </w:rPr>
              <w:t>The Revised Children’s Manifest Anxiety Scale: Second Edition (RCMAS-2)</w:t>
            </w:r>
          </w:p>
        </w:tc>
        <w:tc>
          <w:tcPr>
            <w:tcW w:w="3419" w:type="dxa"/>
            <w:vAlign w:val="center"/>
          </w:tcPr>
          <w:p w14:paraId="1576766A" w14:textId="25921D86" w:rsidR="00D94181" w:rsidRPr="00D94181" w:rsidRDefault="00D94181" w:rsidP="00D94181">
            <w:pPr>
              <w:jc w:val="center"/>
              <w:rPr>
                <w:rFonts w:ascii="Cambria" w:hAnsi="Cambria"/>
                <w:sz w:val="20"/>
                <w:szCs w:val="20"/>
              </w:rPr>
            </w:pPr>
            <w:r w:rsidRPr="00D94181">
              <w:rPr>
                <w:rFonts w:ascii="Cambria" w:hAnsi="Cambria"/>
                <w:sz w:val="20"/>
                <w:szCs w:val="20"/>
              </w:rPr>
              <w:t>Reynolds C, Richmond B., 2012</w:t>
            </w:r>
          </w:p>
        </w:tc>
        <w:tc>
          <w:tcPr>
            <w:tcW w:w="3419" w:type="dxa"/>
            <w:vAlign w:val="center"/>
          </w:tcPr>
          <w:p w14:paraId="0FD8551C" w14:textId="18CBF148" w:rsidR="00D94181" w:rsidRPr="00D94181" w:rsidRDefault="00D94181" w:rsidP="00D94181">
            <w:pPr>
              <w:jc w:val="center"/>
              <w:rPr>
                <w:rFonts w:ascii="Cambria" w:hAnsi="Cambria"/>
                <w:sz w:val="20"/>
                <w:szCs w:val="20"/>
              </w:rPr>
            </w:pPr>
            <w:r w:rsidRPr="00D94181">
              <w:rPr>
                <w:rFonts w:ascii="Cambria" w:hAnsi="Cambria"/>
                <w:sz w:val="20"/>
                <w:szCs w:val="20"/>
              </w:rPr>
              <w:t>General Anxiety</w:t>
            </w:r>
          </w:p>
        </w:tc>
      </w:tr>
      <w:tr w:rsidR="00D94181" w:rsidRPr="00D94181" w14:paraId="24E1E93E" w14:textId="7945CDC3" w:rsidTr="00D94181">
        <w:trPr>
          <w:trHeight w:val="196"/>
        </w:trPr>
        <w:tc>
          <w:tcPr>
            <w:tcW w:w="3419" w:type="dxa"/>
            <w:vAlign w:val="center"/>
          </w:tcPr>
          <w:p w14:paraId="73121B82" w14:textId="593B3B18" w:rsidR="00D94181" w:rsidRPr="00D94181" w:rsidRDefault="00D94181" w:rsidP="00D94181">
            <w:pPr>
              <w:jc w:val="center"/>
              <w:rPr>
                <w:rFonts w:ascii="Cambria" w:hAnsi="Cambria"/>
                <w:sz w:val="20"/>
                <w:szCs w:val="20"/>
              </w:rPr>
            </w:pPr>
            <w:r w:rsidRPr="00D94181">
              <w:rPr>
                <w:rFonts w:ascii="Cambria" w:hAnsi="Cambria"/>
                <w:sz w:val="20"/>
                <w:szCs w:val="20"/>
              </w:rPr>
              <w:t>The Children’s Depression Inventory (CDI)</w:t>
            </w:r>
          </w:p>
        </w:tc>
        <w:tc>
          <w:tcPr>
            <w:tcW w:w="3419" w:type="dxa"/>
            <w:vAlign w:val="center"/>
          </w:tcPr>
          <w:p w14:paraId="0F207633" w14:textId="56C47214" w:rsidR="00D94181" w:rsidRPr="00D94181" w:rsidRDefault="00D94181" w:rsidP="00D94181">
            <w:pPr>
              <w:jc w:val="center"/>
              <w:rPr>
                <w:rFonts w:ascii="Cambria" w:hAnsi="Cambria"/>
                <w:sz w:val="20"/>
                <w:szCs w:val="20"/>
              </w:rPr>
            </w:pPr>
            <w:r w:rsidRPr="00D94181">
              <w:rPr>
                <w:rFonts w:ascii="Cambria" w:hAnsi="Cambria"/>
                <w:sz w:val="20"/>
                <w:szCs w:val="20"/>
              </w:rPr>
              <w:t xml:space="preserve">Kovacs, M., </w:t>
            </w:r>
            <w:proofErr w:type="spellStart"/>
            <w:r w:rsidRPr="00D94181">
              <w:rPr>
                <w:rFonts w:ascii="Cambria" w:hAnsi="Cambria"/>
                <w:sz w:val="20"/>
                <w:szCs w:val="20"/>
              </w:rPr>
              <w:t>Camuffo</w:t>
            </w:r>
            <w:proofErr w:type="spellEnd"/>
            <w:r w:rsidRPr="00D94181">
              <w:rPr>
                <w:rFonts w:ascii="Cambria" w:hAnsi="Cambria"/>
                <w:sz w:val="20"/>
                <w:szCs w:val="20"/>
              </w:rPr>
              <w:t xml:space="preserve">, M., </w:t>
            </w:r>
            <w:proofErr w:type="spellStart"/>
            <w:r w:rsidRPr="00D94181">
              <w:rPr>
                <w:rFonts w:ascii="Cambria" w:hAnsi="Cambria"/>
                <w:sz w:val="20"/>
                <w:szCs w:val="20"/>
              </w:rPr>
              <w:t>Cerutti</w:t>
            </w:r>
            <w:proofErr w:type="spellEnd"/>
            <w:r w:rsidRPr="00D94181">
              <w:rPr>
                <w:rFonts w:ascii="Cambria" w:hAnsi="Cambria"/>
                <w:sz w:val="20"/>
                <w:szCs w:val="20"/>
              </w:rPr>
              <w:t>, R., Lucarelli, L., Mayer R., 1998</w:t>
            </w:r>
          </w:p>
        </w:tc>
        <w:tc>
          <w:tcPr>
            <w:tcW w:w="3419" w:type="dxa"/>
            <w:vAlign w:val="center"/>
          </w:tcPr>
          <w:p w14:paraId="05F3B3B2" w14:textId="35F25EE7" w:rsidR="00D94181" w:rsidRPr="00D94181" w:rsidRDefault="00D94181" w:rsidP="00D94181">
            <w:pPr>
              <w:jc w:val="center"/>
              <w:rPr>
                <w:rFonts w:ascii="Cambria" w:hAnsi="Cambria"/>
                <w:sz w:val="20"/>
                <w:szCs w:val="20"/>
              </w:rPr>
            </w:pPr>
            <w:r w:rsidRPr="00D94181">
              <w:rPr>
                <w:rFonts w:ascii="Cambria" w:hAnsi="Cambria"/>
                <w:sz w:val="20"/>
                <w:szCs w:val="20"/>
              </w:rPr>
              <w:t>Depressive Symptoms</w:t>
            </w:r>
          </w:p>
        </w:tc>
      </w:tr>
      <w:tr w:rsidR="00D94181" w:rsidRPr="00D94181" w14:paraId="07A53D48" w14:textId="71415EE5" w:rsidTr="00D94181">
        <w:trPr>
          <w:trHeight w:val="353"/>
        </w:trPr>
        <w:tc>
          <w:tcPr>
            <w:tcW w:w="3419" w:type="dxa"/>
            <w:vAlign w:val="center"/>
          </w:tcPr>
          <w:p w14:paraId="6C8DDAE2" w14:textId="27ABB444" w:rsidR="00D94181" w:rsidRPr="00D94181" w:rsidRDefault="00D94181" w:rsidP="00D94181">
            <w:pPr>
              <w:jc w:val="center"/>
              <w:rPr>
                <w:rFonts w:ascii="Cambria" w:hAnsi="Cambria"/>
                <w:sz w:val="20"/>
                <w:szCs w:val="20"/>
              </w:rPr>
            </w:pPr>
            <w:r w:rsidRPr="00D94181">
              <w:rPr>
                <w:rFonts w:ascii="Cambria" w:hAnsi="Cambria"/>
                <w:sz w:val="20"/>
                <w:szCs w:val="20"/>
              </w:rPr>
              <w:t>The Questionnaire for the Assessment of Psychopathology in Adolescence (Q-PAD)</w:t>
            </w:r>
          </w:p>
        </w:tc>
        <w:tc>
          <w:tcPr>
            <w:tcW w:w="3419" w:type="dxa"/>
            <w:vAlign w:val="center"/>
          </w:tcPr>
          <w:p w14:paraId="5A717B22" w14:textId="04C002D3" w:rsidR="00D94181" w:rsidRPr="00D94181" w:rsidRDefault="00D94181" w:rsidP="00D94181">
            <w:pPr>
              <w:jc w:val="center"/>
              <w:rPr>
                <w:rFonts w:ascii="Cambria" w:hAnsi="Cambria"/>
                <w:sz w:val="20"/>
                <w:szCs w:val="20"/>
              </w:rPr>
            </w:pPr>
            <w:proofErr w:type="spellStart"/>
            <w:r w:rsidRPr="00D94181">
              <w:rPr>
                <w:rFonts w:ascii="Cambria" w:hAnsi="Cambria"/>
                <w:sz w:val="20"/>
                <w:szCs w:val="20"/>
              </w:rPr>
              <w:t>Sica</w:t>
            </w:r>
            <w:proofErr w:type="spellEnd"/>
            <w:r w:rsidRPr="00D94181">
              <w:rPr>
                <w:rFonts w:ascii="Cambria" w:hAnsi="Cambria"/>
                <w:sz w:val="20"/>
                <w:szCs w:val="20"/>
              </w:rPr>
              <w:t xml:space="preserve"> C., </w:t>
            </w:r>
            <w:proofErr w:type="spellStart"/>
            <w:r w:rsidRPr="00D94181">
              <w:rPr>
                <w:rFonts w:ascii="Cambria" w:hAnsi="Cambria"/>
                <w:sz w:val="20"/>
                <w:szCs w:val="20"/>
              </w:rPr>
              <w:t>Chiri</w:t>
            </w:r>
            <w:proofErr w:type="spellEnd"/>
            <w:r w:rsidRPr="00D94181">
              <w:rPr>
                <w:rFonts w:ascii="Cambria" w:hAnsi="Cambria"/>
                <w:sz w:val="20"/>
                <w:szCs w:val="20"/>
              </w:rPr>
              <w:t xml:space="preserve"> L. R., </w:t>
            </w:r>
            <w:proofErr w:type="spellStart"/>
            <w:r w:rsidRPr="00D94181">
              <w:rPr>
                <w:rFonts w:ascii="Cambria" w:hAnsi="Cambria"/>
                <w:sz w:val="20"/>
                <w:szCs w:val="20"/>
              </w:rPr>
              <w:t>Favilli</w:t>
            </w:r>
            <w:proofErr w:type="spellEnd"/>
            <w:r w:rsidRPr="00D94181">
              <w:rPr>
                <w:rFonts w:ascii="Cambria" w:hAnsi="Cambria"/>
                <w:sz w:val="20"/>
                <w:szCs w:val="20"/>
              </w:rPr>
              <w:t xml:space="preserve"> R., Marchetti I., 2011</w:t>
            </w:r>
          </w:p>
        </w:tc>
        <w:tc>
          <w:tcPr>
            <w:tcW w:w="3419" w:type="dxa"/>
            <w:vAlign w:val="center"/>
          </w:tcPr>
          <w:p w14:paraId="73E26FF9" w14:textId="09E1D3C9" w:rsidR="00D94181" w:rsidRPr="00D94181" w:rsidRDefault="00D94181" w:rsidP="00D94181">
            <w:pPr>
              <w:jc w:val="center"/>
              <w:rPr>
                <w:rFonts w:ascii="Cambria" w:hAnsi="Cambria"/>
                <w:sz w:val="20"/>
                <w:szCs w:val="20"/>
              </w:rPr>
            </w:pPr>
            <w:r w:rsidRPr="00D94181">
              <w:rPr>
                <w:rFonts w:ascii="Cambria" w:hAnsi="Cambria"/>
                <w:sz w:val="20"/>
                <w:szCs w:val="20"/>
              </w:rPr>
              <w:t>Behavioral and emotional problems</w:t>
            </w:r>
          </w:p>
        </w:tc>
      </w:tr>
    </w:tbl>
    <w:p w14:paraId="7706BF28" w14:textId="77777777" w:rsidR="00262F9B" w:rsidRPr="00D94181" w:rsidRDefault="00262F9B" w:rsidP="008B0B8C">
      <w:pPr>
        <w:rPr>
          <w:rFonts w:ascii="Cambria" w:hAnsi="Cambria"/>
          <w:sz w:val="20"/>
          <w:szCs w:val="20"/>
        </w:rPr>
      </w:pPr>
    </w:p>
    <w:p w14:paraId="78426044" w14:textId="57B2C9E6" w:rsidR="00B747EE" w:rsidRPr="00D94181" w:rsidRDefault="00262F9B">
      <w:pPr>
        <w:rPr>
          <w:rFonts w:ascii="Cambria" w:hAnsi="Cambria"/>
          <w:sz w:val="20"/>
          <w:szCs w:val="20"/>
        </w:rPr>
      </w:pPr>
      <w:r w:rsidRPr="00D94181">
        <w:rPr>
          <w:rFonts w:ascii="Cambria" w:hAnsi="Cambria"/>
          <w:sz w:val="20"/>
          <w:szCs w:val="20"/>
        </w:rPr>
        <w:tab/>
        <w:t>2) For personal assets</w:t>
      </w:r>
    </w:p>
    <w:tbl>
      <w:tblPr>
        <w:tblStyle w:val="TableGrid"/>
        <w:tblW w:w="10201" w:type="dxa"/>
        <w:tblLook w:val="04A0" w:firstRow="1" w:lastRow="0" w:firstColumn="1" w:lastColumn="0" w:noHBand="0" w:noVBand="1"/>
      </w:tblPr>
      <w:tblGrid>
        <w:gridCol w:w="3397"/>
        <w:gridCol w:w="3402"/>
        <w:gridCol w:w="3402"/>
      </w:tblGrid>
      <w:tr w:rsidR="00D94181" w:rsidRPr="00D94181" w14:paraId="463A7A68" w14:textId="50EC6FBA" w:rsidTr="00D94181">
        <w:trPr>
          <w:trHeight w:val="285"/>
        </w:trPr>
        <w:tc>
          <w:tcPr>
            <w:tcW w:w="3397" w:type="dxa"/>
            <w:vAlign w:val="center"/>
          </w:tcPr>
          <w:p w14:paraId="34BCBC29" w14:textId="77777777" w:rsidR="00D94181" w:rsidRPr="00D94181" w:rsidRDefault="00D94181" w:rsidP="00D94181">
            <w:pPr>
              <w:jc w:val="center"/>
              <w:rPr>
                <w:rFonts w:ascii="Cambria" w:hAnsi="Cambria"/>
                <w:sz w:val="20"/>
                <w:szCs w:val="20"/>
              </w:rPr>
            </w:pPr>
            <w:r w:rsidRPr="00D94181">
              <w:rPr>
                <w:rFonts w:ascii="Cambria" w:hAnsi="Cambria"/>
                <w:sz w:val="20"/>
                <w:szCs w:val="20"/>
              </w:rPr>
              <w:t>Material</w:t>
            </w:r>
          </w:p>
        </w:tc>
        <w:tc>
          <w:tcPr>
            <w:tcW w:w="3402" w:type="dxa"/>
            <w:vAlign w:val="center"/>
          </w:tcPr>
          <w:p w14:paraId="09AA3C7A" w14:textId="6BCC6856" w:rsidR="00D94181" w:rsidRPr="00D94181" w:rsidRDefault="00D94181" w:rsidP="00D94181">
            <w:pPr>
              <w:jc w:val="center"/>
              <w:rPr>
                <w:rFonts w:ascii="Cambria" w:hAnsi="Cambria"/>
                <w:sz w:val="20"/>
                <w:szCs w:val="20"/>
              </w:rPr>
            </w:pPr>
            <w:r>
              <w:rPr>
                <w:rFonts w:ascii="Cambria" w:hAnsi="Cambria"/>
                <w:sz w:val="20"/>
                <w:szCs w:val="20"/>
              </w:rPr>
              <w:t>Reference</w:t>
            </w:r>
          </w:p>
        </w:tc>
        <w:tc>
          <w:tcPr>
            <w:tcW w:w="3402" w:type="dxa"/>
            <w:vAlign w:val="center"/>
          </w:tcPr>
          <w:p w14:paraId="478B4DF5" w14:textId="209B8782" w:rsidR="00D94181" w:rsidRPr="00D94181" w:rsidRDefault="00D94181" w:rsidP="00D94181">
            <w:pPr>
              <w:jc w:val="center"/>
              <w:rPr>
                <w:rFonts w:ascii="Cambria" w:hAnsi="Cambria"/>
                <w:sz w:val="20"/>
                <w:szCs w:val="20"/>
              </w:rPr>
            </w:pPr>
            <w:r w:rsidRPr="00D94181">
              <w:rPr>
                <w:rFonts w:ascii="Cambria" w:hAnsi="Cambria"/>
                <w:sz w:val="20"/>
                <w:szCs w:val="20"/>
              </w:rPr>
              <w:t>To test</w:t>
            </w:r>
          </w:p>
        </w:tc>
      </w:tr>
      <w:tr w:rsidR="00D94181" w:rsidRPr="00D94181" w14:paraId="06A2230E" w14:textId="6E8EF752" w:rsidTr="00D94181">
        <w:trPr>
          <w:trHeight w:val="427"/>
        </w:trPr>
        <w:tc>
          <w:tcPr>
            <w:tcW w:w="3397" w:type="dxa"/>
            <w:vAlign w:val="center"/>
          </w:tcPr>
          <w:p w14:paraId="4C76CFC8" w14:textId="33D25EF1" w:rsidR="00D94181" w:rsidRPr="00D94181" w:rsidRDefault="00D94181" w:rsidP="00D94181">
            <w:pPr>
              <w:jc w:val="center"/>
              <w:rPr>
                <w:rFonts w:ascii="Cambria" w:hAnsi="Cambria"/>
                <w:sz w:val="20"/>
                <w:szCs w:val="20"/>
              </w:rPr>
            </w:pPr>
            <w:r w:rsidRPr="00D94181">
              <w:rPr>
                <w:rFonts w:ascii="Cambria" w:hAnsi="Cambria"/>
                <w:sz w:val="20"/>
                <w:szCs w:val="20"/>
              </w:rPr>
              <w:t xml:space="preserve">The Ego-resiliency Scale (ER) </w:t>
            </w:r>
          </w:p>
        </w:tc>
        <w:tc>
          <w:tcPr>
            <w:tcW w:w="3402" w:type="dxa"/>
            <w:vAlign w:val="center"/>
          </w:tcPr>
          <w:p w14:paraId="1A8F0D29" w14:textId="5657026F" w:rsidR="00D94181" w:rsidRPr="00D94181" w:rsidRDefault="00D94181" w:rsidP="00D94181">
            <w:pPr>
              <w:jc w:val="center"/>
              <w:rPr>
                <w:rFonts w:ascii="Cambria" w:hAnsi="Cambria"/>
                <w:sz w:val="20"/>
                <w:szCs w:val="20"/>
              </w:rPr>
            </w:pPr>
            <w:r w:rsidRPr="00D94181">
              <w:rPr>
                <w:rFonts w:ascii="Cambria" w:hAnsi="Cambria"/>
                <w:sz w:val="20"/>
                <w:szCs w:val="20"/>
              </w:rPr>
              <w:t xml:space="preserve">Block J, </w:t>
            </w:r>
            <w:proofErr w:type="spellStart"/>
            <w:r w:rsidRPr="00D94181">
              <w:rPr>
                <w:rFonts w:ascii="Cambria" w:hAnsi="Cambria"/>
                <w:sz w:val="20"/>
                <w:szCs w:val="20"/>
              </w:rPr>
              <w:t>Kremen</w:t>
            </w:r>
            <w:proofErr w:type="spellEnd"/>
            <w:r w:rsidRPr="00D94181">
              <w:rPr>
                <w:rFonts w:ascii="Cambria" w:hAnsi="Cambria"/>
                <w:sz w:val="20"/>
                <w:szCs w:val="20"/>
              </w:rPr>
              <w:t xml:space="preserve"> A., 1996 &amp; </w:t>
            </w:r>
            <w:r w:rsidRPr="00D94181">
              <w:rPr>
                <w:rFonts w:ascii="Calibri" w:hAnsi="Calibri" w:cs="Calibri"/>
                <w:sz w:val="20"/>
                <w:szCs w:val="20"/>
              </w:rPr>
              <w:t>﻿</w:t>
            </w:r>
            <w:r w:rsidRPr="00D94181">
              <w:rPr>
                <w:rFonts w:ascii="Cambria" w:hAnsi="Cambria"/>
                <w:sz w:val="20"/>
                <w:szCs w:val="20"/>
              </w:rPr>
              <w:t>Block, J. H., &amp; Block J., 1980</w:t>
            </w:r>
          </w:p>
        </w:tc>
        <w:tc>
          <w:tcPr>
            <w:tcW w:w="3402" w:type="dxa"/>
            <w:vAlign w:val="center"/>
          </w:tcPr>
          <w:p w14:paraId="050E09FF" w14:textId="62DEDB47" w:rsidR="00D94181" w:rsidRPr="00D94181" w:rsidRDefault="00D94181" w:rsidP="00D94181">
            <w:pPr>
              <w:jc w:val="center"/>
              <w:rPr>
                <w:rFonts w:ascii="Cambria" w:hAnsi="Cambria"/>
                <w:sz w:val="20"/>
                <w:szCs w:val="20"/>
              </w:rPr>
            </w:pPr>
            <w:r w:rsidRPr="00D94181">
              <w:rPr>
                <w:rFonts w:ascii="Cambria" w:hAnsi="Cambria"/>
                <w:sz w:val="20"/>
                <w:szCs w:val="20"/>
              </w:rPr>
              <w:t>Resilience</w:t>
            </w:r>
          </w:p>
        </w:tc>
      </w:tr>
      <w:tr w:rsidR="00D94181" w:rsidRPr="00D94181" w14:paraId="4A0F5E85" w14:textId="55AE4EA5" w:rsidTr="00D94181">
        <w:trPr>
          <w:trHeight w:val="420"/>
        </w:trPr>
        <w:tc>
          <w:tcPr>
            <w:tcW w:w="3397" w:type="dxa"/>
            <w:vAlign w:val="center"/>
          </w:tcPr>
          <w:p w14:paraId="15277208" w14:textId="29C449AC" w:rsidR="00D94181" w:rsidRPr="00D94181" w:rsidRDefault="00D94181" w:rsidP="00D94181">
            <w:pPr>
              <w:jc w:val="center"/>
              <w:rPr>
                <w:rFonts w:ascii="Cambria" w:hAnsi="Cambria"/>
                <w:sz w:val="20"/>
                <w:szCs w:val="20"/>
              </w:rPr>
            </w:pPr>
            <w:r w:rsidRPr="00D94181">
              <w:rPr>
                <w:rFonts w:ascii="Cambria" w:hAnsi="Cambria"/>
                <w:sz w:val="20"/>
                <w:szCs w:val="20"/>
              </w:rPr>
              <w:t>Multidimensional Self-Concept Scale (MSC)</w:t>
            </w:r>
          </w:p>
        </w:tc>
        <w:tc>
          <w:tcPr>
            <w:tcW w:w="3402" w:type="dxa"/>
            <w:vAlign w:val="center"/>
          </w:tcPr>
          <w:p w14:paraId="6743F74D" w14:textId="61FB6617" w:rsidR="00D94181" w:rsidRPr="00D94181" w:rsidRDefault="00D94181" w:rsidP="00D94181">
            <w:pPr>
              <w:jc w:val="center"/>
              <w:rPr>
                <w:rFonts w:ascii="Cambria" w:hAnsi="Cambria"/>
                <w:sz w:val="20"/>
                <w:szCs w:val="20"/>
              </w:rPr>
            </w:pPr>
            <w:r w:rsidRPr="00D94181">
              <w:rPr>
                <w:rFonts w:ascii="Cambria" w:hAnsi="Cambria"/>
                <w:sz w:val="20"/>
                <w:szCs w:val="20"/>
              </w:rPr>
              <w:t>Bracken BA., 2003</w:t>
            </w:r>
          </w:p>
        </w:tc>
        <w:tc>
          <w:tcPr>
            <w:tcW w:w="3402" w:type="dxa"/>
            <w:vAlign w:val="center"/>
          </w:tcPr>
          <w:p w14:paraId="254E5B40" w14:textId="7CF8939D" w:rsidR="00D94181" w:rsidRPr="00D94181" w:rsidRDefault="00D94181" w:rsidP="00D94181">
            <w:pPr>
              <w:jc w:val="center"/>
              <w:rPr>
                <w:rFonts w:ascii="Cambria" w:hAnsi="Cambria"/>
                <w:sz w:val="20"/>
                <w:szCs w:val="20"/>
              </w:rPr>
            </w:pPr>
            <w:r w:rsidRPr="00D94181">
              <w:rPr>
                <w:rFonts w:ascii="Cambria" w:hAnsi="Cambria"/>
                <w:sz w:val="20"/>
                <w:szCs w:val="20"/>
              </w:rPr>
              <w:t>Self-concept</w:t>
            </w:r>
          </w:p>
        </w:tc>
      </w:tr>
    </w:tbl>
    <w:p w14:paraId="00F8660F" w14:textId="0EBE7274" w:rsidR="00262F9B" w:rsidRPr="00D94181" w:rsidRDefault="00262F9B">
      <w:pPr>
        <w:rPr>
          <w:rFonts w:ascii="Cambria" w:hAnsi="Cambria"/>
          <w:sz w:val="20"/>
          <w:szCs w:val="20"/>
        </w:rPr>
      </w:pPr>
    </w:p>
    <w:p w14:paraId="3B397D25" w14:textId="05B9C7D9" w:rsidR="00262F9B" w:rsidRPr="00D94181" w:rsidRDefault="00262F9B">
      <w:pPr>
        <w:rPr>
          <w:rFonts w:ascii="Cambria" w:hAnsi="Cambria"/>
          <w:sz w:val="20"/>
          <w:szCs w:val="20"/>
        </w:rPr>
      </w:pPr>
      <w:r w:rsidRPr="00D94181">
        <w:rPr>
          <w:rFonts w:ascii="Cambria" w:hAnsi="Cambria"/>
          <w:sz w:val="20"/>
          <w:szCs w:val="20"/>
        </w:rPr>
        <w:tab/>
        <w:t>3) For working memory</w:t>
      </w:r>
    </w:p>
    <w:tbl>
      <w:tblPr>
        <w:tblStyle w:val="TableGrid"/>
        <w:tblW w:w="10201" w:type="dxa"/>
        <w:tblLook w:val="04A0" w:firstRow="1" w:lastRow="0" w:firstColumn="1" w:lastColumn="0" w:noHBand="0" w:noVBand="1"/>
      </w:tblPr>
      <w:tblGrid>
        <w:gridCol w:w="2547"/>
        <w:gridCol w:w="2551"/>
        <w:gridCol w:w="2552"/>
        <w:gridCol w:w="2551"/>
      </w:tblGrid>
      <w:tr w:rsidR="0014228E" w:rsidRPr="00D94181" w14:paraId="52F7D797" w14:textId="4CB04F9F" w:rsidTr="0014228E">
        <w:trPr>
          <w:trHeight w:val="349"/>
        </w:trPr>
        <w:tc>
          <w:tcPr>
            <w:tcW w:w="2547" w:type="dxa"/>
            <w:vAlign w:val="center"/>
          </w:tcPr>
          <w:p w14:paraId="50CF1D2C" w14:textId="03109042" w:rsidR="0014228E" w:rsidRPr="00D94181" w:rsidRDefault="0014228E" w:rsidP="00D94181">
            <w:pPr>
              <w:jc w:val="center"/>
              <w:rPr>
                <w:rFonts w:ascii="Cambria" w:hAnsi="Cambria"/>
                <w:sz w:val="20"/>
                <w:szCs w:val="20"/>
              </w:rPr>
            </w:pPr>
            <w:r w:rsidRPr="00D94181">
              <w:rPr>
                <w:rFonts w:ascii="Cambria" w:hAnsi="Cambria"/>
                <w:sz w:val="20"/>
                <w:szCs w:val="20"/>
              </w:rPr>
              <w:t>For verbal WM</w:t>
            </w:r>
          </w:p>
        </w:tc>
        <w:tc>
          <w:tcPr>
            <w:tcW w:w="2551" w:type="dxa"/>
            <w:vAlign w:val="center"/>
          </w:tcPr>
          <w:p w14:paraId="481DD886" w14:textId="1DBD1550" w:rsidR="0014228E" w:rsidRPr="00D94181" w:rsidRDefault="0014228E" w:rsidP="00D94181">
            <w:pPr>
              <w:jc w:val="center"/>
              <w:rPr>
                <w:rFonts w:ascii="Cambria" w:hAnsi="Cambria"/>
                <w:sz w:val="20"/>
                <w:szCs w:val="20"/>
              </w:rPr>
            </w:pPr>
            <w:r w:rsidRPr="00D94181">
              <w:rPr>
                <w:rFonts w:ascii="Cambria" w:hAnsi="Cambria"/>
                <w:sz w:val="20"/>
                <w:szCs w:val="20"/>
              </w:rPr>
              <w:t>Reference</w:t>
            </w:r>
          </w:p>
        </w:tc>
        <w:tc>
          <w:tcPr>
            <w:tcW w:w="2552" w:type="dxa"/>
            <w:vAlign w:val="center"/>
          </w:tcPr>
          <w:p w14:paraId="7935694E" w14:textId="20BB4C2B" w:rsidR="0014228E" w:rsidRPr="00D94181" w:rsidRDefault="0014228E" w:rsidP="00D94181">
            <w:pPr>
              <w:jc w:val="center"/>
              <w:rPr>
                <w:rFonts w:ascii="Cambria" w:hAnsi="Cambria"/>
                <w:sz w:val="20"/>
                <w:szCs w:val="20"/>
              </w:rPr>
            </w:pPr>
            <w:r w:rsidRPr="00D94181">
              <w:rPr>
                <w:rFonts w:ascii="Cambria" w:hAnsi="Cambria"/>
                <w:sz w:val="20"/>
                <w:szCs w:val="20"/>
              </w:rPr>
              <w:t>For visuospatial WM</w:t>
            </w:r>
          </w:p>
        </w:tc>
        <w:tc>
          <w:tcPr>
            <w:tcW w:w="2551" w:type="dxa"/>
            <w:vAlign w:val="center"/>
          </w:tcPr>
          <w:p w14:paraId="22EB6433" w14:textId="2C8B300E" w:rsidR="0014228E" w:rsidRPr="00D94181" w:rsidRDefault="0014228E" w:rsidP="0014228E">
            <w:pPr>
              <w:jc w:val="center"/>
              <w:rPr>
                <w:rFonts w:ascii="Cambria" w:hAnsi="Cambria"/>
                <w:sz w:val="20"/>
                <w:szCs w:val="20"/>
              </w:rPr>
            </w:pPr>
            <w:r>
              <w:rPr>
                <w:rFonts w:ascii="Cambria" w:hAnsi="Cambria"/>
                <w:sz w:val="20"/>
                <w:szCs w:val="20"/>
              </w:rPr>
              <w:t>Reference</w:t>
            </w:r>
          </w:p>
        </w:tc>
      </w:tr>
      <w:tr w:rsidR="0014228E" w:rsidRPr="00D94181" w14:paraId="3F0FCD96" w14:textId="3B6FBF69" w:rsidTr="0014228E">
        <w:trPr>
          <w:trHeight w:val="383"/>
        </w:trPr>
        <w:tc>
          <w:tcPr>
            <w:tcW w:w="2547" w:type="dxa"/>
            <w:vAlign w:val="center"/>
          </w:tcPr>
          <w:p w14:paraId="09169878" w14:textId="19118E07" w:rsidR="0014228E" w:rsidRPr="00D94181" w:rsidRDefault="0014228E" w:rsidP="00D94181">
            <w:pPr>
              <w:jc w:val="center"/>
              <w:rPr>
                <w:rFonts w:ascii="Cambria" w:hAnsi="Cambria"/>
                <w:sz w:val="20"/>
                <w:szCs w:val="20"/>
              </w:rPr>
            </w:pPr>
            <w:r w:rsidRPr="00D94181">
              <w:rPr>
                <w:rFonts w:ascii="Cambria" w:hAnsi="Cambria"/>
                <w:sz w:val="20"/>
                <w:szCs w:val="20"/>
              </w:rPr>
              <w:t xml:space="preserve">Word span—Backward (WS-B) </w:t>
            </w:r>
          </w:p>
        </w:tc>
        <w:tc>
          <w:tcPr>
            <w:tcW w:w="2551" w:type="dxa"/>
            <w:vAlign w:val="center"/>
          </w:tcPr>
          <w:p w14:paraId="285A991D" w14:textId="77FC58FA" w:rsidR="0014228E" w:rsidRPr="00D94181" w:rsidRDefault="0014228E" w:rsidP="00D94181">
            <w:pPr>
              <w:jc w:val="center"/>
              <w:rPr>
                <w:rFonts w:ascii="Cambria" w:hAnsi="Cambria"/>
                <w:sz w:val="20"/>
                <w:szCs w:val="20"/>
              </w:rPr>
            </w:pPr>
            <w:r w:rsidRPr="0014228E">
              <w:rPr>
                <w:rFonts w:ascii="Calibri" w:hAnsi="Calibri" w:cs="Calibri"/>
                <w:sz w:val="20"/>
                <w:szCs w:val="20"/>
              </w:rPr>
              <w:t>﻿</w:t>
            </w:r>
            <w:proofErr w:type="spellStart"/>
            <w:r w:rsidRPr="0014228E">
              <w:rPr>
                <w:rFonts w:ascii="Cambria" w:hAnsi="Cambria"/>
                <w:sz w:val="20"/>
                <w:szCs w:val="20"/>
              </w:rPr>
              <w:t>Cornoldi</w:t>
            </w:r>
            <w:proofErr w:type="spellEnd"/>
            <w:r w:rsidRPr="0014228E">
              <w:rPr>
                <w:rFonts w:ascii="Cambria" w:hAnsi="Cambria"/>
                <w:sz w:val="20"/>
                <w:szCs w:val="20"/>
              </w:rPr>
              <w:t xml:space="preserve"> C, </w:t>
            </w:r>
            <w:proofErr w:type="spellStart"/>
            <w:r w:rsidRPr="0014228E">
              <w:rPr>
                <w:rFonts w:ascii="Cambria" w:hAnsi="Cambria"/>
                <w:sz w:val="20"/>
                <w:szCs w:val="20"/>
              </w:rPr>
              <w:t>Vecchi</w:t>
            </w:r>
            <w:proofErr w:type="spellEnd"/>
            <w:r w:rsidRPr="0014228E">
              <w:rPr>
                <w:rFonts w:ascii="Cambria" w:hAnsi="Cambria"/>
                <w:sz w:val="20"/>
                <w:szCs w:val="20"/>
              </w:rPr>
              <w:t xml:space="preserve"> T.</w:t>
            </w:r>
            <w:r>
              <w:rPr>
                <w:rFonts w:ascii="Cambria" w:hAnsi="Cambria"/>
                <w:sz w:val="20"/>
                <w:szCs w:val="20"/>
              </w:rPr>
              <w:t>, 2003</w:t>
            </w:r>
          </w:p>
        </w:tc>
        <w:tc>
          <w:tcPr>
            <w:tcW w:w="2552" w:type="dxa"/>
            <w:vAlign w:val="center"/>
          </w:tcPr>
          <w:p w14:paraId="0F20B020" w14:textId="79E76DC8" w:rsidR="0014228E" w:rsidRPr="00D94181" w:rsidRDefault="0014228E" w:rsidP="00D94181">
            <w:pPr>
              <w:jc w:val="center"/>
              <w:rPr>
                <w:rFonts w:ascii="Cambria" w:hAnsi="Cambria"/>
                <w:sz w:val="20"/>
                <w:szCs w:val="20"/>
              </w:rPr>
            </w:pPr>
            <w:r w:rsidRPr="00D94181">
              <w:rPr>
                <w:rFonts w:ascii="Cambria" w:hAnsi="Cambria"/>
                <w:sz w:val="20"/>
                <w:szCs w:val="20"/>
              </w:rPr>
              <w:t>Matrices span—Backward (MS-B)</w:t>
            </w:r>
          </w:p>
        </w:tc>
        <w:tc>
          <w:tcPr>
            <w:tcW w:w="2551" w:type="dxa"/>
            <w:vAlign w:val="center"/>
          </w:tcPr>
          <w:p w14:paraId="490EF28A" w14:textId="7032B183" w:rsidR="0014228E" w:rsidRPr="00D94181" w:rsidRDefault="0014228E" w:rsidP="0014228E">
            <w:pPr>
              <w:jc w:val="center"/>
              <w:rPr>
                <w:rFonts w:ascii="Cambria" w:hAnsi="Cambria"/>
                <w:sz w:val="20"/>
                <w:szCs w:val="20"/>
              </w:rPr>
            </w:pPr>
            <w:r w:rsidRPr="0014228E">
              <w:rPr>
                <w:rFonts w:ascii="Calibri" w:hAnsi="Calibri" w:cs="Calibri"/>
                <w:sz w:val="20"/>
                <w:szCs w:val="20"/>
              </w:rPr>
              <w:t>﻿</w:t>
            </w:r>
            <w:proofErr w:type="spellStart"/>
            <w:r w:rsidRPr="0014228E">
              <w:rPr>
                <w:rFonts w:ascii="Cambria" w:hAnsi="Cambria"/>
                <w:sz w:val="20"/>
                <w:szCs w:val="20"/>
              </w:rPr>
              <w:t>Cornoldi</w:t>
            </w:r>
            <w:proofErr w:type="spellEnd"/>
            <w:r w:rsidRPr="0014228E">
              <w:rPr>
                <w:rFonts w:ascii="Cambria" w:hAnsi="Cambria"/>
                <w:sz w:val="20"/>
                <w:szCs w:val="20"/>
              </w:rPr>
              <w:t xml:space="preserve"> C, </w:t>
            </w:r>
            <w:proofErr w:type="spellStart"/>
            <w:r w:rsidRPr="0014228E">
              <w:rPr>
                <w:rFonts w:ascii="Cambria" w:hAnsi="Cambria"/>
                <w:sz w:val="20"/>
                <w:szCs w:val="20"/>
              </w:rPr>
              <w:t>Vecchi</w:t>
            </w:r>
            <w:proofErr w:type="spellEnd"/>
            <w:r w:rsidRPr="0014228E">
              <w:rPr>
                <w:rFonts w:ascii="Cambria" w:hAnsi="Cambria"/>
                <w:sz w:val="20"/>
                <w:szCs w:val="20"/>
              </w:rPr>
              <w:t xml:space="preserve"> T.</w:t>
            </w:r>
            <w:r>
              <w:rPr>
                <w:rFonts w:ascii="Cambria" w:hAnsi="Cambria"/>
                <w:sz w:val="20"/>
                <w:szCs w:val="20"/>
              </w:rPr>
              <w:t>, 2003</w:t>
            </w:r>
          </w:p>
        </w:tc>
      </w:tr>
      <w:tr w:rsidR="0014228E" w:rsidRPr="00D94181" w14:paraId="44F6EE55" w14:textId="5D7B7857" w:rsidTr="0014228E">
        <w:trPr>
          <w:trHeight w:val="420"/>
        </w:trPr>
        <w:tc>
          <w:tcPr>
            <w:tcW w:w="2547" w:type="dxa"/>
            <w:vAlign w:val="center"/>
          </w:tcPr>
          <w:p w14:paraId="5C4ECF94" w14:textId="0060B522" w:rsidR="0014228E" w:rsidRPr="00D94181" w:rsidRDefault="0014228E" w:rsidP="00D94181">
            <w:pPr>
              <w:jc w:val="center"/>
              <w:rPr>
                <w:rFonts w:ascii="Cambria" w:hAnsi="Cambria"/>
                <w:sz w:val="20"/>
                <w:szCs w:val="20"/>
              </w:rPr>
            </w:pPr>
            <w:r w:rsidRPr="00D94181">
              <w:rPr>
                <w:rFonts w:ascii="Cambria" w:hAnsi="Cambria"/>
                <w:sz w:val="20"/>
                <w:szCs w:val="20"/>
              </w:rPr>
              <w:t xml:space="preserve">Verbal dual tasks (DT-V) </w:t>
            </w:r>
          </w:p>
        </w:tc>
        <w:tc>
          <w:tcPr>
            <w:tcW w:w="2551" w:type="dxa"/>
            <w:vAlign w:val="center"/>
          </w:tcPr>
          <w:p w14:paraId="326B32C3" w14:textId="3BE977CB" w:rsidR="0014228E" w:rsidRPr="00D94181" w:rsidRDefault="0014228E" w:rsidP="00D94181">
            <w:pPr>
              <w:jc w:val="center"/>
              <w:rPr>
                <w:rFonts w:ascii="Cambria" w:hAnsi="Cambria"/>
                <w:sz w:val="20"/>
                <w:szCs w:val="20"/>
              </w:rPr>
            </w:pPr>
            <w:r w:rsidRPr="0014228E">
              <w:rPr>
                <w:rFonts w:ascii="Calibri" w:hAnsi="Calibri" w:cs="Calibri"/>
                <w:sz w:val="20"/>
                <w:szCs w:val="20"/>
              </w:rPr>
              <w:t>﻿</w:t>
            </w:r>
            <w:r w:rsidRPr="0014228E">
              <w:rPr>
                <w:rFonts w:ascii="Cambria" w:hAnsi="Cambria"/>
                <w:sz w:val="20"/>
                <w:szCs w:val="20"/>
              </w:rPr>
              <w:t xml:space="preserve">De Beni R., Palladino P., </w:t>
            </w:r>
            <w:proofErr w:type="spellStart"/>
            <w:r w:rsidRPr="0014228E">
              <w:rPr>
                <w:rFonts w:ascii="Cambria" w:hAnsi="Cambria"/>
                <w:sz w:val="20"/>
                <w:szCs w:val="20"/>
              </w:rPr>
              <w:t>Pazzaglia</w:t>
            </w:r>
            <w:proofErr w:type="spellEnd"/>
            <w:r w:rsidRPr="0014228E">
              <w:rPr>
                <w:rFonts w:ascii="Cambria" w:hAnsi="Cambria"/>
                <w:sz w:val="20"/>
                <w:szCs w:val="20"/>
              </w:rPr>
              <w:t xml:space="preserve"> F., </w:t>
            </w:r>
            <w:proofErr w:type="spellStart"/>
            <w:r w:rsidRPr="0014228E">
              <w:rPr>
                <w:rFonts w:ascii="Cambria" w:hAnsi="Cambria"/>
                <w:sz w:val="20"/>
                <w:szCs w:val="20"/>
              </w:rPr>
              <w:t>Cornoldi</w:t>
            </w:r>
            <w:proofErr w:type="spellEnd"/>
            <w:r w:rsidRPr="0014228E">
              <w:rPr>
                <w:rFonts w:ascii="Cambria" w:hAnsi="Cambria"/>
                <w:sz w:val="20"/>
                <w:szCs w:val="20"/>
              </w:rPr>
              <w:t xml:space="preserve"> C</w:t>
            </w:r>
            <w:r>
              <w:rPr>
                <w:rFonts w:ascii="Cambria" w:hAnsi="Cambria"/>
                <w:sz w:val="20"/>
                <w:szCs w:val="20"/>
              </w:rPr>
              <w:t>, 1998</w:t>
            </w:r>
          </w:p>
        </w:tc>
        <w:tc>
          <w:tcPr>
            <w:tcW w:w="2552" w:type="dxa"/>
            <w:vAlign w:val="center"/>
          </w:tcPr>
          <w:p w14:paraId="5CA0A173" w14:textId="3E6B9C0D" w:rsidR="0014228E" w:rsidRPr="00D94181" w:rsidRDefault="0014228E" w:rsidP="00D94181">
            <w:pPr>
              <w:jc w:val="center"/>
              <w:rPr>
                <w:rFonts w:ascii="Cambria" w:hAnsi="Cambria"/>
                <w:sz w:val="20"/>
                <w:szCs w:val="20"/>
              </w:rPr>
            </w:pPr>
            <w:r w:rsidRPr="00D94181">
              <w:rPr>
                <w:rFonts w:ascii="Cambria" w:hAnsi="Cambria"/>
                <w:sz w:val="20"/>
                <w:szCs w:val="20"/>
              </w:rPr>
              <w:t>Visuospatial dual tasks (DT-VS)</w:t>
            </w:r>
          </w:p>
        </w:tc>
        <w:tc>
          <w:tcPr>
            <w:tcW w:w="2551" w:type="dxa"/>
            <w:vAlign w:val="center"/>
          </w:tcPr>
          <w:p w14:paraId="64C48422" w14:textId="0F5C2583" w:rsidR="0014228E" w:rsidRPr="00D94181" w:rsidRDefault="0014228E" w:rsidP="0014228E">
            <w:pPr>
              <w:jc w:val="center"/>
              <w:rPr>
                <w:rFonts w:ascii="Cambria" w:hAnsi="Cambria"/>
                <w:sz w:val="20"/>
                <w:szCs w:val="20"/>
              </w:rPr>
            </w:pPr>
            <w:r w:rsidRPr="0014228E">
              <w:rPr>
                <w:rFonts w:ascii="Calibri" w:hAnsi="Calibri" w:cs="Calibri"/>
                <w:sz w:val="20"/>
                <w:szCs w:val="20"/>
              </w:rPr>
              <w:t>﻿</w:t>
            </w:r>
            <w:proofErr w:type="spellStart"/>
            <w:r w:rsidRPr="0014228E">
              <w:rPr>
                <w:rFonts w:ascii="Cambria" w:hAnsi="Cambria"/>
                <w:sz w:val="20"/>
                <w:szCs w:val="20"/>
              </w:rPr>
              <w:t>Mammarella</w:t>
            </w:r>
            <w:proofErr w:type="spellEnd"/>
            <w:r w:rsidRPr="0014228E">
              <w:rPr>
                <w:rFonts w:ascii="Cambria" w:hAnsi="Cambria"/>
                <w:sz w:val="20"/>
                <w:szCs w:val="20"/>
              </w:rPr>
              <w:t xml:space="preserve"> I. C., </w:t>
            </w:r>
            <w:proofErr w:type="spellStart"/>
            <w:r w:rsidRPr="0014228E">
              <w:rPr>
                <w:rFonts w:ascii="Cambria" w:hAnsi="Cambria"/>
                <w:sz w:val="20"/>
                <w:szCs w:val="20"/>
              </w:rPr>
              <w:t>Cornoldi</w:t>
            </w:r>
            <w:proofErr w:type="spellEnd"/>
            <w:r w:rsidRPr="0014228E">
              <w:rPr>
                <w:rFonts w:ascii="Cambria" w:hAnsi="Cambria"/>
                <w:sz w:val="20"/>
                <w:szCs w:val="20"/>
              </w:rPr>
              <w:t xml:space="preserve"> C.</w:t>
            </w:r>
            <w:r>
              <w:rPr>
                <w:rFonts w:ascii="Cambria" w:hAnsi="Cambria"/>
                <w:sz w:val="20"/>
                <w:szCs w:val="20"/>
              </w:rPr>
              <w:t>, 2005</w:t>
            </w:r>
          </w:p>
        </w:tc>
        <w:bookmarkStart w:id="0" w:name="_GoBack"/>
        <w:bookmarkEnd w:id="0"/>
      </w:tr>
      <w:tr w:rsidR="0014228E" w:rsidRPr="00D94181" w14:paraId="51DC66DD" w14:textId="620E0715" w:rsidTr="0014228E">
        <w:trPr>
          <w:trHeight w:val="420"/>
        </w:trPr>
        <w:tc>
          <w:tcPr>
            <w:tcW w:w="2547" w:type="dxa"/>
            <w:vAlign w:val="center"/>
          </w:tcPr>
          <w:p w14:paraId="1F96009A" w14:textId="6179B4A4" w:rsidR="0014228E" w:rsidRPr="00D94181" w:rsidRDefault="0014228E" w:rsidP="00D94181">
            <w:pPr>
              <w:jc w:val="center"/>
              <w:rPr>
                <w:rFonts w:ascii="Cambria" w:hAnsi="Cambria"/>
                <w:sz w:val="20"/>
                <w:szCs w:val="20"/>
              </w:rPr>
            </w:pPr>
            <w:r w:rsidRPr="00D94181">
              <w:rPr>
                <w:rFonts w:ascii="Cambria" w:hAnsi="Cambria"/>
                <w:sz w:val="20"/>
                <w:szCs w:val="20"/>
              </w:rPr>
              <w:t xml:space="preserve">Listening span test (LST) </w:t>
            </w:r>
          </w:p>
        </w:tc>
        <w:tc>
          <w:tcPr>
            <w:tcW w:w="2551" w:type="dxa"/>
            <w:vAlign w:val="center"/>
          </w:tcPr>
          <w:p w14:paraId="3D78102E" w14:textId="2C5C6297" w:rsidR="0014228E" w:rsidRPr="00D94181" w:rsidRDefault="0014228E" w:rsidP="00D94181">
            <w:pPr>
              <w:jc w:val="center"/>
              <w:rPr>
                <w:rFonts w:ascii="Cambria" w:hAnsi="Cambria"/>
                <w:sz w:val="20"/>
                <w:szCs w:val="20"/>
              </w:rPr>
            </w:pPr>
            <w:r w:rsidRPr="0014228E">
              <w:rPr>
                <w:rFonts w:ascii="Calibri" w:hAnsi="Calibri" w:cs="Calibri"/>
                <w:sz w:val="20"/>
                <w:szCs w:val="20"/>
              </w:rPr>
              <w:t>﻿</w:t>
            </w:r>
            <w:r w:rsidRPr="0014228E">
              <w:rPr>
                <w:rFonts w:ascii="Cambria" w:hAnsi="Cambria"/>
                <w:sz w:val="20"/>
                <w:szCs w:val="20"/>
              </w:rPr>
              <w:t>Daneman M., Carpenter PA.</w:t>
            </w:r>
            <w:r>
              <w:rPr>
                <w:rFonts w:ascii="Cambria" w:hAnsi="Cambria"/>
                <w:sz w:val="20"/>
                <w:szCs w:val="20"/>
              </w:rPr>
              <w:t>, 1980</w:t>
            </w:r>
          </w:p>
        </w:tc>
        <w:tc>
          <w:tcPr>
            <w:tcW w:w="2552" w:type="dxa"/>
            <w:vAlign w:val="center"/>
          </w:tcPr>
          <w:p w14:paraId="60BA9490" w14:textId="414E6515" w:rsidR="0014228E" w:rsidRPr="00D94181" w:rsidRDefault="0014228E" w:rsidP="00D94181">
            <w:pPr>
              <w:jc w:val="center"/>
              <w:rPr>
                <w:rFonts w:ascii="Cambria" w:hAnsi="Cambria"/>
                <w:sz w:val="20"/>
                <w:szCs w:val="20"/>
              </w:rPr>
            </w:pPr>
            <w:r w:rsidRPr="00D94181">
              <w:rPr>
                <w:rFonts w:ascii="Cambria" w:hAnsi="Cambria"/>
                <w:sz w:val="20"/>
                <w:szCs w:val="20"/>
              </w:rPr>
              <w:t>Dot matrix task (DOT)</w:t>
            </w:r>
          </w:p>
        </w:tc>
        <w:tc>
          <w:tcPr>
            <w:tcW w:w="2551" w:type="dxa"/>
            <w:vAlign w:val="center"/>
          </w:tcPr>
          <w:p w14:paraId="4F329EB3" w14:textId="018825F4" w:rsidR="0014228E" w:rsidRPr="00D94181" w:rsidRDefault="0014228E" w:rsidP="0014228E">
            <w:pPr>
              <w:jc w:val="center"/>
              <w:rPr>
                <w:rFonts w:ascii="Cambria" w:hAnsi="Cambria"/>
                <w:sz w:val="20"/>
                <w:szCs w:val="20"/>
              </w:rPr>
            </w:pPr>
            <w:r w:rsidRPr="0014228E">
              <w:rPr>
                <w:rFonts w:ascii="Calibri" w:hAnsi="Calibri" w:cs="Calibri"/>
                <w:sz w:val="20"/>
                <w:szCs w:val="20"/>
              </w:rPr>
              <w:t>﻿</w:t>
            </w:r>
            <w:r w:rsidRPr="0014228E">
              <w:rPr>
                <w:rFonts w:ascii="Cambria" w:hAnsi="Cambria"/>
                <w:sz w:val="20"/>
                <w:szCs w:val="20"/>
              </w:rPr>
              <w:t xml:space="preserve">Miyake A, Friedman NP, </w:t>
            </w:r>
            <w:proofErr w:type="spellStart"/>
            <w:r w:rsidRPr="0014228E">
              <w:rPr>
                <w:rFonts w:ascii="Cambria" w:hAnsi="Cambria"/>
                <w:sz w:val="20"/>
                <w:szCs w:val="20"/>
              </w:rPr>
              <w:t>Rettinger</w:t>
            </w:r>
            <w:proofErr w:type="spellEnd"/>
            <w:r w:rsidRPr="0014228E">
              <w:rPr>
                <w:rFonts w:ascii="Cambria" w:hAnsi="Cambria"/>
                <w:sz w:val="20"/>
                <w:szCs w:val="20"/>
              </w:rPr>
              <w:t xml:space="preserve"> DA, Shah P, Hegarty M.</w:t>
            </w:r>
            <w:r>
              <w:rPr>
                <w:rFonts w:ascii="Cambria" w:hAnsi="Cambria"/>
                <w:sz w:val="20"/>
                <w:szCs w:val="20"/>
              </w:rPr>
              <w:t>, 2001</w:t>
            </w:r>
          </w:p>
        </w:tc>
      </w:tr>
    </w:tbl>
    <w:p w14:paraId="43348495" w14:textId="578CBBD7" w:rsidR="00262F9B" w:rsidRPr="00D94181" w:rsidRDefault="00262F9B">
      <w:pPr>
        <w:rPr>
          <w:rFonts w:ascii="Cambria" w:hAnsi="Cambria"/>
          <w:sz w:val="20"/>
          <w:szCs w:val="20"/>
        </w:rPr>
      </w:pPr>
    </w:p>
    <w:p w14:paraId="705020AA" w14:textId="5633272E" w:rsidR="00DB0BF1" w:rsidRPr="00D94181" w:rsidRDefault="00DB0BF1" w:rsidP="00DB0BF1">
      <w:pPr>
        <w:rPr>
          <w:rFonts w:ascii="Cambria" w:hAnsi="Cambria"/>
          <w:sz w:val="20"/>
          <w:szCs w:val="20"/>
        </w:rPr>
      </w:pPr>
      <w:r w:rsidRPr="00D94181">
        <w:rPr>
          <w:rFonts w:ascii="Cambria" w:hAnsi="Cambria"/>
          <w:sz w:val="20"/>
          <w:szCs w:val="20"/>
        </w:rPr>
        <w:tab/>
        <w:t>4) For mathematics and reading literacy, The INVALSI (Italian Institute for the Assessment of the Education System</w:t>
      </w:r>
      <w:r w:rsidR="00D94181" w:rsidRPr="00D94181">
        <w:rPr>
          <w:rFonts w:ascii="Cambria" w:hAnsi="Cambria"/>
          <w:sz w:val="20"/>
          <w:szCs w:val="20"/>
        </w:rPr>
        <w:t>)</w:t>
      </w:r>
      <w:r w:rsidRPr="00D94181">
        <w:rPr>
          <w:rFonts w:ascii="Cambria" w:hAnsi="Cambria"/>
          <w:sz w:val="20"/>
          <w:szCs w:val="20"/>
        </w:rPr>
        <w:t xml:space="preserve"> was used.</w:t>
      </w:r>
    </w:p>
    <w:p w14:paraId="1546A11A" w14:textId="4630474E" w:rsidR="00DB0BF1" w:rsidRPr="00D94181" w:rsidRDefault="00DB0BF1" w:rsidP="00DB0BF1">
      <w:pPr>
        <w:rPr>
          <w:rFonts w:ascii="Cambria" w:hAnsi="Cambria"/>
          <w:sz w:val="20"/>
          <w:szCs w:val="20"/>
        </w:rPr>
      </w:pPr>
      <w:r w:rsidRPr="00D94181">
        <w:rPr>
          <w:rFonts w:ascii="Cambria" w:hAnsi="Cambria"/>
          <w:sz w:val="20"/>
          <w:szCs w:val="20"/>
        </w:rPr>
        <w:t>Self-report measures were administered in a group session lasting approximately 1hour; WM was assessed in individual sessions in a quiet room for 30 minutes; mathematics and reading literacy tests were taken in two group sessions lasting 75 minutes each.</w:t>
      </w:r>
    </w:p>
    <w:p w14:paraId="4D0F1C71" w14:textId="000F82F6" w:rsidR="00DB0BF1" w:rsidRPr="00D94181" w:rsidRDefault="00DB0BF1">
      <w:pPr>
        <w:rPr>
          <w:rFonts w:ascii="Cambria" w:hAnsi="Cambria"/>
          <w:sz w:val="20"/>
          <w:szCs w:val="20"/>
        </w:rPr>
      </w:pPr>
      <w:r w:rsidRPr="00D94181">
        <w:rPr>
          <w:rFonts w:ascii="Cambria" w:hAnsi="Cambria"/>
          <w:sz w:val="20"/>
          <w:szCs w:val="20"/>
        </w:rPr>
        <w:lastRenderedPageBreak/>
        <w:tab/>
        <w:t>The research showed the unique and shared contributions of these variables to mathematics and reading literacy as expected. The impact of negative affect was small, but not negligible. In addition, it was found that WM had a larger portion of unique variance than negative affect and personal assets in both mathematics and reading literacy.</w:t>
      </w:r>
    </w:p>
    <w:sectPr w:rsidR="00DB0BF1" w:rsidRPr="00D94181" w:rsidSect="00F737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7567C"/>
    <w:multiLevelType w:val="multilevel"/>
    <w:tmpl w:val="163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D5583"/>
    <w:multiLevelType w:val="hybridMultilevel"/>
    <w:tmpl w:val="D408E34C"/>
    <w:lvl w:ilvl="0" w:tplc="3D124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EE"/>
    <w:rsid w:val="0014228E"/>
    <w:rsid w:val="001B5BFE"/>
    <w:rsid w:val="00262F9B"/>
    <w:rsid w:val="008B0B8C"/>
    <w:rsid w:val="00B747EE"/>
    <w:rsid w:val="00D94181"/>
    <w:rsid w:val="00DB0BF1"/>
    <w:rsid w:val="00F737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541FCD"/>
  <w15:chartTrackingRefBased/>
  <w15:docId w15:val="{A3BBCA08-A3EC-7D42-9A8E-865211C5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EE"/>
    <w:pPr>
      <w:ind w:left="720"/>
      <w:contextualSpacing/>
    </w:pPr>
  </w:style>
  <w:style w:type="paragraph" w:styleId="NormalWeb">
    <w:name w:val="Normal (Web)"/>
    <w:basedOn w:val="Normal"/>
    <w:uiPriority w:val="99"/>
    <w:semiHidden/>
    <w:unhideWhenUsed/>
    <w:rsid w:val="00262F9B"/>
    <w:rPr>
      <w:rFonts w:ascii="Times New Roman" w:hAnsi="Times New Roman" w:cs="Times New Roman"/>
    </w:rPr>
  </w:style>
  <w:style w:type="table" w:styleId="TableGrid">
    <w:name w:val="Table Grid"/>
    <w:basedOn w:val="TableNormal"/>
    <w:uiPriority w:val="39"/>
    <w:rsid w:val="00262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155">
      <w:bodyDiv w:val="1"/>
      <w:marLeft w:val="0"/>
      <w:marRight w:val="0"/>
      <w:marTop w:val="0"/>
      <w:marBottom w:val="0"/>
      <w:divBdr>
        <w:top w:val="none" w:sz="0" w:space="0" w:color="auto"/>
        <w:left w:val="none" w:sz="0" w:space="0" w:color="auto"/>
        <w:bottom w:val="none" w:sz="0" w:space="0" w:color="auto"/>
        <w:right w:val="none" w:sz="0" w:space="0" w:color="auto"/>
      </w:divBdr>
      <w:divsChild>
        <w:div w:id="724110250">
          <w:marLeft w:val="0"/>
          <w:marRight w:val="0"/>
          <w:marTop w:val="0"/>
          <w:marBottom w:val="0"/>
          <w:divBdr>
            <w:top w:val="none" w:sz="0" w:space="0" w:color="auto"/>
            <w:left w:val="none" w:sz="0" w:space="0" w:color="auto"/>
            <w:bottom w:val="none" w:sz="0" w:space="0" w:color="auto"/>
            <w:right w:val="none" w:sz="0" w:space="0" w:color="auto"/>
          </w:divBdr>
          <w:divsChild>
            <w:div w:id="13758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486">
      <w:bodyDiv w:val="1"/>
      <w:marLeft w:val="0"/>
      <w:marRight w:val="0"/>
      <w:marTop w:val="0"/>
      <w:marBottom w:val="0"/>
      <w:divBdr>
        <w:top w:val="none" w:sz="0" w:space="0" w:color="auto"/>
        <w:left w:val="none" w:sz="0" w:space="0" w:color="auto"/>
        <w:bottom w:val="none" w:sz="0" w:space="0" w:color="auto"/>
        <w:right w:val="none" w:sz="0" w:space="0" w:color="auto"/>
      </w:divBdr>
      <w:divsChild>
        <w:div w:id="1386565728">
          <w:marLeft w:val="0"/>
          <w:marRight w:val="0"/>
          <w:marTop w:val="0"/>
          <w:marBottom w:val="0"/>
          <w:divBdr>
            <w:top w:val="none" w:sz="0" w:space="0" w:color="auto"/>
            <w:left w:val="none" w:sz="0" w:space="0" w:color="auto"/>
            <w:bottom w:val="none" w:sz="0" w:space="0" w:color="auto"/>
            <w:right w:val="none" w:sz="0" w:space="0" w:color="auto"/>
          </w:divBdr>
          <w:divsChild>
            <w:div w:id="2181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766">
          <w:marLeft w:val="0"/>
          <w:marRight w:val="0"/>
          <w:marTop w:val="0"/>
          <w:marBottom w:val="0"/>
          <w:divBdr>
            <w:top w:val="none" w:sz="0" w:space="0" w:color="auto"/>
            <w:left w:val="none" w:sz="0" w:space="0" w:color="auto"/>
            <w:bottom w:val="none" w:sz="0" w:space="0" w:color="auto"/>
            <w:right w:val="none" w:sz="0" w:space="0" w:color="auto"/>
          </w:divBdr>
          <w:divsChild>
            <w:div w:id="515383562">
              <w:marLeft w:val="0"/>
              <w:marRight w:val="0"/>
              <w:marTop w:val="0"/>
              <w:marBottom w:val="0"/>
              <w:divBdr>
                <w:top w:val="none" w:sz="0" w:space="0" w:color="auto"/>
                <w:left w:val="none" w:sz="0" w:space="0" w:color="auto"/>
                <w:bottom w:val="none" w:sz="0" w:space="0" w:color="auto"/>
                <w:right w:val="none" w:sz="0" w:space="0" w:color="auto"/>
              </w:divBdr>
              <w:divsChild>
                <w:div w:id="1686009875">
                  <w:marLeft w:val="0"/>
                  <w:marRight w:val="0"/>
                  <w:marTop w:val="0"/>
                  <w:marBottom w:val="0"/>
                  <w:divBdr>
                    <w:top w:val="none" w:sz="0" w:space="0" w:color="auto"/>
                    <w:left w:val="none" w:sz="0" w:space="0" w:color="auto"/>
                    <w:bottom w:val="none" w:sz="0" w:space="0" w:color="auto"/>
                    <w:right w:val="none" w:sz="0" w:space="0" w:color="auto"/>
                  </w:divBdr>
                  <w:divsChild>
                    <w:div w:id="13277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6442">
      <w:bodyDiv w:val="1"/>
      <w:marLeft w:val="0"/>
      <w:marRight w:val="0"/>
      <w:marTop w:val="0"/>
      <w:marBottom w:val="0"/>
      <w:divBdr>
        <w:top w:val="none" w:sz="0" w:space="0" w:color="auto"/>
        <w:left w:val="none" w:sz="0" w:space="0" w:color="auto"/>
        <w:bottom w:val="none" w:sz="0" w:space="0" w:color="auto"/>
        <w:right w:val="none" w:sz="0" w:space="0" w:color="auto"/>
      </w:divBdr>
      <w:divsChild>
        <w:div w:id="640427918">
          <w:marLeft w:val="0"/>
          <w:marRight w:val="0"/>
          <w:marTop w:val="0"/>
          <w:marBottom w:val="0"/>
          <w:divBdr>
            <w:top w:val="none" w:sz="0" w:space="0" w:color="auto"/>
            <w:left w:val="none" w:sz="0" w:space="0" w:color="auto"/>
            <w:bottom w:val="none" w:sz="0" w:space="0" w:color="auto"/>
            <w:right w:val="none" w:sz="0" w:space="0" w:color="auto"/>
          </w:divBdr>
          <w:divsChild>
            <w:div w:id="941765650">
              <w:marLeft w:val="0"/>
              <w:marRight w:val="0"/>
              <w:marTop w:val="0"/>
              <w:marBottom w:val="0"/>
              <w:divBdr>
                <w:top w:val="none" w:sz="0" w:space="0" w:color="auto"/>
                <w:left w:val="none" w:sz="0" w:space="0" w:color="auto"/>
                <w:bottom w:val="none" w:sz="0" w:space="0" w:color="auto"/>
                <w:right w:val="none" w:sz="0" w:space="0" w:color="auto"/>
              </w:divBdr>
              <w:divsChild>
                <w:div w:id="437453248">
                  <w:marLeft w:val="0"/>
                  <w:marRight w:val="0"/>
                  <w:marTop w:val="0"/>
                  <w:marBottom w:val="0"/>
                  <w:divBdr>
                    <w:top w:val="none" w:sz="0" w:space="0" w:color="auto"/>
                    <w:left w:val="none" w:sz="0" w:space="0" w:color="auto"/>
                    <w:bottom w:val="none" w:sz="0" w:space="0" w:color="auto"/>
                    <w:right w:val="none" w:sz="0" w:space="0" w:color="auto"/>
                  </w:divBdr>
                  <w:divsChild>
                    <w:div w:id="5542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747">
      <w:bodyDiv w:val="1"/>
      <w:marLeft w:val="0"/>
      <w:marRight w:val="0"/>
      <w:marTop w:val="0"/>
      <w:marBottom w:val="0"/>
      <w:divBdr>
        <w:top w:val="none" w:sz="0" w:space="0" w:color="auto"/>
        <w:left w:val="none" w:sz="0" w:space="0" w:color="auto"/>
        <w:bottom w:val="none" w:sz="0" w:space="0" w:color="auto"/>
        <w:right w:val="none" w:sz="0" w:space="0" w:color="auto"/>
      </w:divBdr>
      <w:divsChild>
        <w:div w:id="1938437908">
          <w:marLeft w:val="0"/>
          <w:marRight w:val="0"/>
          <w:marTop w:val="0"/>
          <w:marBottom w:val="0"/>
          <w:divBdr>
            <w:top w:val="none" w:sz="0" w:space="0" w:color="auto"/>
            <w:left w:val="none" w:sz="0" w:space="0" w:color="auto"/>
            <w:bottom w:val="none" w:sz="0" w:space="0" w:color="auto"/>
            <w:right w:val="none" w:sz="0" w:space="0" w:color="auto"/>
          </w:divBdr>
          <w:divsChild>
            <w:div w:id="1567717971">
              <w:marLeft w:val="0"/>
              <w:marRight w:val="0"/>
              <w:marTop w:val="0"/>
              <w:marBottom w:val="0"/>
              <w:divBdr>
                <w:top w:val="none" w:sz="0" w:space="0" w:color="auto"/>
                <w:left w:val="none" w:sz="0" w:space="0" w:color="auto"/>
                <w:bottom w:val="none" w:sz="0" w:space="0" w:color="auto"/>
                <w:right w:val="none" w:sz="0" w:space="0" w:color="auto"/>
              </w:divBdr>
              <w:divsChild>
                <w:div w:id="1430544937">
                  <w:marLeft w:val="0"/>
                  <w:marRight w:val="0"/>
                  <w:marTop w:val="0"/>
                  <w:marBottom w:val="0"/>
                  <w:divBdr>
                    <w:top w:val="none" w:sz="0" w:space="0" w:color="auto"/>
                    <w:left w:val="none" w:sz="0" w:space="0" w:color="auto"/>
                    <w:bottom w:val="none" w:sz="0" w:space="0" w:color="auto"/>
                    <w:right w:val="none" w:sz="0" w:space="0" w:color="auto"/>
                  </w:divBdr>
                  <w:divsChild>
                    <w:div w:id="20454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81922">
      <w:bodyDiv w:val="1"/>
      <w:marLeft w:val="0"/>
      <w:marRight w:val="0"/>
      <w:marTop w:val="0"/>
      <w:marBottom w:val="0"/>
      <w:divBdr>
        <w:top w:val="none" w:sz="0" w:space="0" w:color="auto"/>
        <w:left w:val="none" w:sz="0" w:space="0" w:color="auto"/>
        <w:bottom w:val="none" w:sz="0" w:space="0" w:color="auto"/>
        <w:right w:val="none" w:sz="0" w:space="0" w:color="auto"/>
      </w:divBdr>
      <w:divsChild>
        <w:div w:id="661853229">
          <w:marLeft w:val="0"/>
          <w:marRight w:val="0"/>
          <w:marTop w:val="0"/>
          <w:marBottom w:val="0"/>
          <w:divBdr>
            <w:top w:val="none" w:sz="0" w:space="0" w:color="auto"/>
            <w:left w:val="none" w:sz="0" w:space="0" w:color="auto"/>
            <w:bottom w:val="none" w:sz="0" w:space="0" w:color="auto"/>
            <w:right w:val="none" w:sz="0" w:space="0" w:color="auto"/>
          </w:divBdr>
          <w:divsChild>
            <w:div w:id="1590581265">
              <w:marLeft w:val="0"/>
              <w:marRight w:val="0"/>
              <w:marTop w:val="0"/>
              <w:marBottom w:val="0"/>
              <w:divBdr>
                <w:top w:val="none" w:sz="0" w:space="0" w:color="auto"/>
                <w:left w:val="none" w:sz="0" w:space="0" w:color="auto"/>
                <w:bottom w:val="none" w:sz="0" w:space="0" w:color="auto"/>
                <w:right w:val="none" w:sz="0" w:space="0" w:color="auto"/>
              </w:divBdr>
              <w:divsChild>
                <w:div w:id="1209759555">
                  <w:marLeft w:val="0"/>
                  <w:marRight w:val="0"/>
                  <w:marTop w:val="0"/>
                  <w:marBottom w:val="0"/>
                  <w:divBdr>
                    <w:top w:val="none" w:sz="0" w:space="0" w:color="auto"/>
                    <w:left w:val="none" w:sz="0" w:space="0" w:color="auto"/>
                    <w:bottom w:val="none" w:sz="0" w:space="0" w:color="auto"/>
                    <w:right w:val="none" w:sz="0" w:space="0" w:color="auto"/>
                  </w:divBdr>
                  <w:divsChild>
                    <w:div w:id="16768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00793">
      <w:bodyDiv w:val="1"/>
      <w:marLeft w:val="0"/>
      <w:marRight w:val="0"/>
      <w:marTop w:val="0"/>
      <w:marBottom w:val="0"/>
      <w:divBdr>
        <w:top w:val="none" w:sz="0" w:space="0" w:color="auto"/>
        <w:left w:val="none" w:sz="0" w:space="0" w:color="auto"/>
        <w:bottom w:val="none" w:sz="0" w:space="0" w:color="auto"/>
        <w:right w:val="none" w:sz="0" w:space="0" w:color="auto"/>
      </w:divBdr>
      <w:divsChild>
        <w:div w:id="914359851">
          <w:marLeft w:val="0"/>
          <w:marRight w:val="0"/>
          <w:marTop w:val="0"/>
          <w:marBottom w:val="0"/>
          <w:divBdr>
            <w:top w:val="none" w:sz="0" w:space="0" w:color="auto"/>
            <w:left w:val="none" w:sz="0" w:space="0" w:color="auto"/>
            <w:bottom w:val="none" w:sz="0" w:space="0" w:color="auto"/>
            <w:right w:val="none" w:sz="0" w:space="0" w:color="auto"/>
          </w:divBdr>
          <w:divsChild>
            <w:div w:id="1882282912">
              <w:marLeft w:val="0"/>
              <w:marRight w:val="0"/>
              <w:marTop w:val="0"/>
              <w:marBottom w:val="0"/>
              <w:divBdr>
                <w:top w:val="none" w:sz="0" w:space="0" w:color="auto"/>
                <w:left w:val="none" w:sz="0" w:space="0" w:color="auto"/>
                <w:bottom w:val="none" w:sz="0" w:space="0" w:color="auto"/>
                <w:right w:val="none" w:sz="0" w:space="0" w:color="auto"/>
              </w:divBdr>
              <w:divsChild>
                <w:div w:id="1791900799">
                  <w:marLeft w:val="0"/>
                  <w:marRight w:val="0"/>
                  <w:marTop w:val="0"/>
                  <w:marBottom w:val="0"/>
                  <w:divBdr>
                    <w:top w:val="none" w:sz="0" w:space="0" w:color="auto"/>
                    <w:left w:val="none" w:sz="0" w:space="0" w:color="auto"/>
                    <w:bottom w:val="none" w:sz="0" w:space="0" w:color="auto"/>
                    <w:right w:val="none" w:sz="0" w:space="0" w:color="auto"/>
                  </w:divBdr>
                  <w:divsChild>
                    <w:div w:id="8661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88055">
      <w:bodyDiv w:val="1"/>
      <w:marLeft w:val="0"/>
      <w:marRight w:val="0"/>
      <w:marTop w:val="0"/>
      <w:marBottom w:val="0"/>
      <w:divBdr>
        <w:top w:val="none" w:sz="0" w:space="0" w:color="auto"/>
        <w:left w:val="none" w:sz="0" w:space="0" w:color="auto"/>
        <w:bottom w:val="none" w:sz="0" w:space="0" w:color="auto"/>
        <w:right w:val="none" w:sz="0" w:space="0" w:color="auto"/>
      </w:divBdr>
      <w:divsChild>
        <w:div w:id="1571689601">
          <w:marLeft w:val="0"/>
          <w:marRight w:val="0"/>
          <w:marTop w:val="0"/>
          <w:marBottom w:val="0"/>
          <w:divBdr>
            <w:top w:val="none" w:sz="0" w:space="0" w:color="auto"/>
            <w:left w:val="none" w:sz="0" w:space="0" w:color="auto"/>
            <w:bottom w:val="none" w:sz="0" w:space="0" w:color="auto"/>
            <w:right w:val="none" w:sz="0" w:space="0" w:color="auto"/>
          </w:divBdr>
          <w:divsChild>
            <w:div w:id="1110323166">
              <w:marLeft w:val="0"/>
              <w:marRight w:val="0"/>
              <w:marTop w:val="0"/>
              <w:marBottom w:val="0"/>
              <w:divBdr>
                <w:top w:val="none" w:sz="0" w:space="0" w:color="auto"/>
                <w:left w:val="none" w:sz="0" w:space="0" w:color="auto"/>
                <w:bottom w:val="none" w:sz="0" w:space="0" w:color="auto"/>
                <w:right w:val="none" w:sz="0" w:space="0" w:color="auto"/>
              </w:divBdr>
              <w:divsChild>
                <w:div w:id="550961908">
                  <w:marLeft w:val="0"/>
                  <w:marRight w:val="0"/>
                  <w:marTop w:val="0"/>
                  <w:marBottom w:val="0"/>
                  <w:divBdr>
                    <w:top w:val="none" w:sz="0" w:space="0" w:color="auto"/>
                    <w:left w:val="none" w:sz="0" w:space="0" w:color="auto"/>
                    <w:bottom w:val="none" w:sz="0" w:space="0" w:color="auto"/>
                    <w:right w:val="none" w:sz="0" w:space="0" w:color="auto"/>
                  </w:divBdr>
                  <w:divsChild>
                    <w:div w:id="20642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4255">
      <w:bodyDiv w:val="1"/>
      <w:marLeft w:val="0"/>
      <w:marRight w:val="0"/>
      <w:marTop w:val="0"/>
      <w:marBottom w:val="0"/>
      <w:divBdr>
        <w:top w:val="none" w:sz="0" w:space="0" w:color="auto"/>
        <w:left w:val="none" w:sz="0" w:space="0" w:color="auto"/>
        <w:bottom w:val="none" w:sz="0" w:space="0" w:color="auto"/>
        <w:right w:val="none" w:sz="0" w:space="0" w:color="auto"/>
      </w:divBdr>
      <w:divsChild>
        <w:div w:id="560601731">
          <w:marLeft w:val="0"/>
          <w:marRight w:val="0"/>
          <w:marTop w:val="0"/>
          <w:marBottom w:val="0"/>
          <w:divBdr>
            <w:top w:val="none" w:sz="0" w:space="0" w:color="auto"/>
            <w:left w:val="none" w:sz="0" w:space="0" w:color="auto"/>
            <w:bottom w:val="none" w:sz="0" w:space="0" w:color="auto"/>
            <w:right w:val="none" w:sz="0" w:space="0" w:color="auto"/>
          </w:divBdr>
          <w:divsChild>
            <w:div w:id="807823118">
              <w:marLeft w:val="0"/>
              <w:marRight w:val="0"/>
              <w:marTop w:val="0"/>
              <w:marBottom w:val="0"/>
              <w:divBdr>
                <w:top w:val="none" w:sz="0" w:space="0" w:color="auto"/>
                <w:left w:val="none" w:sz="0" w:space="0" w:color="auto"/>
                <w:bottom w:val="none" w:sz="0" w:space="0" w:color="auto"/>
                <w:right w:val="none" w:sz="0" w:space="0" w:color="auto"/>
              </w:divBdr>
              <w:divsChild>
                <w:div w:id="1081566363">
                  <w:marLeft w:val="0"/>
                  <w:marRight w:val="0"/>
                  <w:marTop w:val="0"/>
                  <w:marBottom w:val="0"/>
                  <w:divBdr>
                    <w:top w:val="none" w:sz="0" w:space="0" w:color="auto"/>
                    <w:left w:val="none" w:sz="0" w:space="0" w:color="auto"/>
                    <w:bottom w:val="none" w:sz="0" w:space="0" w:color="auto"/>
                    <w:right w:val="none" w:sz="0" w:space="0" w:color="auto"/>
                  </w:divBdr>
                  <w:divsChild>
                    <w:div w:id="11651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3330">
      <w:bodyDiv w:val="1"/>
      <w:marLeft w:val="0"/>
      <w:marRight w:val="0"/>
      <w:marTop w:val="0"/>
      <w:marBottom w:val="0"/>
      <w:divBdr>
        <w:top w:val="none" w:sz="0" w:space="0" w:color="auto"/>
        <w:left w:val="none" w:sz="0" w:space="0" w:color="auto"/>
        <w:bottom w:val="none" w:sz="0" w:space="0" w:color="auto"/>
        <w:right w:val="none" w:sz="0" w:space="0" w:color="auto"/>
      </w:divBdr>
      <w:divsChild>
        <w:div w:id="1813516380">
          <w:marLeft w:val="0"/>
          <w:marRight w:val="0"/>
          <w:marTop w:val="0"/>
          <w:marBottom w:val="0"/>
          <w:divBdr>
            <w:top w:val="none" w:sz="0" w:space="0" w:color="auto"/>
            <w:left w:val="none" w:sz="0" w:space="0" w:color="auto"/>
            <w:bottom w:val="none" w:sz="0" w:space="0" w:color="auto"/>
            <w:right w:val="none" w:sz="0" w:space="0" w:color="auto"/>
          </w:divBdr>
          <w:divsChild>
            <w:div w:id="2147311779">
              <w:marLeft w:val="0"/>
              <w:marRight w:val="0"/>
              <w:marTop w:val="0"/>
              <w:marBottom w:val="0"/>
              <w:divBdr>
                <w:top w:val="none" w:sz="0" w:space="0" w:color="auto"/>
                <w:left w:val="none" w:sz="0" w:space="0" w:color="auto"/>
                <w:bottom w:val="none" w:sz="0" w:space="0" w:color="auto"/>
                <w:right w:val="none" w:sz="0" w:space="0" w:color="auto"/>
              </w:divBdr>
              <w:divsChild>
                <w:div w:id="205333366">
                  <w:marLeft w:val="0"/>
                  <w:marRight w:val="0"/>
                  <w:marTop w:val="0"/>
                  <w:marBottom w:val="0"/>
                  <w:divBdr>
                    <w:top w:val="none" w:sz="0" w:space="0" w:color="auto"/>
                    <w:left w:val="none" w:sz="0" w:space="0" w:color="auto"/>
                    <w:bottom w:val="none" w:sz="0" w:space="0" w:color="auto"/>
                    <w:right w:val="none" w:sz="0" w:space="0" w:color="auto"/>
                  </w:divBdr>
                  <w:divsChild>
                    <w:div w:id="690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19894">
      <w:bodyDiv w:val="1"/>
      <w:marLeft w:val="0"/>
      <w:marRight w:val="0"/>
      <w:marTop w:val="0"/>
      <w:marBottom w:val="0"/>
      <w:divBdr>
        <w:top w:val="none" w:sz="0" w:space="0" w:color="auto"/>
        <w:left w:val="none" w:sz="0" w:space="0" w:color="auto"/>
        <w:bottom w:val="none" w:sz="0" w:space="0" w:color="auto"/>
        <w:right w:val="none" w:sz="0" w:space="0" w:color="auto"/>
      </w:divBdr>
      <w:divsChild>
        <w:div w:id="1935239800">
          <w:marLeft w:val="0"/>
          <w:marRight w:val="0"/>
          <w:marTop w:val="0"/>
          <w:marBottom w:val="0"/>
          <w:divBdr>
            <w:top w:val="none" w:sz="0" w:space="0" w:color="auto"/>
            <w:left w:val="none" w:sz="0" w:space="0" w:color="auto"/>
            <w:bottom w:val="none" w:sz="0" w:space="0" w:color="auto"/>
            <w:right w:val="none" w:sz="0" w:space="0" w:color="auto"/>
          </w:divBdr>
          <w:divsChild>
            <w:div w:id="1368412822">
              <w:marLeft w:val="0"/>
              <w:marRight w:val="0"/>
              <w:marTop w:val="0"/>
              <w:marBottom w:val="0"/>
              <w:divBdr>
                <w:top w:val="none" w:sz="0" w:space="0" w:color="auto"/>
                <w:left w:val="none" w:sz="0" w:space="0" w:color="auto"/>
                <w:bottom w:val="none" w:sz="0" w:space="0" w:color="auto"/>
                <w:right w:val="none" w:sz="0" w:space="0" w:color="auto"/>
              </w:divBdr>
              <w:divsChild>
                <w:div w:id="121848819">
                  <w:marLeft w:val="0"/>
                  <w:marRight w:val="0"/>
                  <w:marTop w:val="0"/>
                  <w:marBottom w:val="0"/>
                  <w:divBdr>
                    <w:top w:val="none" w:sz="0" w:space="0" w:color="auto"/>
                    <w:left w:val="none" w:sz="0" w:space="0" w:color="auto"/>
                    <w:bottom w:val="none" w:sz="0" w:space="0" w:color="auto"/>
                    <w:right w:val="none" w:sz="0" w:space="0" w:color="auto"/>
                  </w:divBdr>
                  <w:divsChild>
                    <w:div w:id="4380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7623">
      <w:bodyDiv w:val="1"/>
      <w:marLeft w:val="0"/>
      <w:marRight w:val="0"/>
      <w:marTop w:val="0"/>
      <w:marBottom w:val="0"/>
      <w:divBdr>
        <w:top w:val="none" w:sz="0" w:space="0" w:color="auto"/>
        <w:left w:val="none" w:sz="0" w:space="0" w:color="auto"/>
        <w:bottom w:val="none" w:sz="0" w:space="0" w:color="auto"/>
        <w:right w:val="none" w:sz="0" w:space="0" w:color="auto"/>
      </w:divBdr>
      <w:divsChild>
        <w:div w:id="1232429962">
          <w:marLeft w:val="0"/>
          <w:marRight w:val="0"/>
          <w:marTop w:val="0"/>
          <w:marBottom w:val="0"/>
          <w:divBdr>
            <w:top w:val="none" w:sz="0" w:space="0" w:color="auto"/>
            <w:left w:val="none" w:sz="0" w:space="0" w:color="auto"/>
            <w:bottom w:val="none" w:sz="0" w:space="0" w:color="auto"/>
            <w:right w:val="none" w:sz="0" w:space="0" w:color="auto"/>
          </w:divBdr>
          <w:divsChild>
            <w:div w:id="504441684">
              <w:marLeft w:val="0"/>
              <w:marRight w:val="0"/>
              <w:marTop w:val="0"/>
              <w:marBottom w:val="0"/>
              <w:divBdr>
                <w:top w:val="none" w:sz="0" w:space="0" w:color="auto"/>
                <w:left w:val="none" w:sz="0" w:space="0" w:color="auto"/>
                <w:bottom w:val="none" w:sz="0" w:space="0" w:color="auto"/>
                <w:right w:val="none" w:sz="0" w:space="0" w:color="auto"/>
              </w:divBdr>
              <w:divsChild>
                <w:div w:id="2088502323">
                  <w:marLeft w:val="0"/>
                  <w:marRight w:val="0"/>
                  <w:marTop w:val="0"/>
                  <w:marBottom w:val="0"/>
                  <w:divBdr>
                    <w:top w:val="none" w:sz="0" w:space="0" w:color="auto"/>
                    <w:left w:val="none" w:sz="0" w:space="0" w:color="auto"/>
                    <w:bottom w:val="none" w:sz="0" w:space="0" w:color="auto"/>
                    <w:right w:val="none" w:sz="0" w:space="0" w:color="auto"/>
                  </w:divBdr>
                  <w:divsChild>
                    <w:div w:id="1127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22680">
      <w:bodyDiv w:val="1"/>
      <w:marLeft w:val="0"/>
      <w:marRight w:val="0"/>
      <w:marTop w:val="0"/>
      <w:marBottom w:val="0"/>
      <w:divBdr>
        <w:top w:val="none" w:sz="0" w:space="0" w:color="auto"/>
        <w:left w:val="none" w:sz="0" w:space="0" w:color="auto"/>
        <w:bottom w:val="none" w:sz="0" w:space="0" w:color="auto"/>
        <w:right w:val="none" w:sz="0" w:space="0" w:color="auto"/>
      </w:divBdr>
      <w:divsChild>
        <w:div w:id="933439550">
          <w:marLeft w:val="0"/>
          <w:marRight w:val="0"/>
          <w:marTop w:val="0"/>
          <w:marBottom w:val="0"/>
          <w:divBdr>
            <w:top w:val="none" w:sz="0" w:space="0" w:color="auto"/>
            <w:left w:val="none" w:sz="0" w:space="0" w:color="auto"/>
            <w:bottom w:val="none" w:sz="0" w:space="0" w:color="auto"/>
            <w:right w:val="none" w:sz="0" w:space="0" w:color="auto"/>
          </w:divBdr>
          <w:divsChild>
            <w:div w:id="2124493852">
              <w:marLeft w:val="0"/>
              <w:marRight w:val="0"/>
              <w:marTop w:val="0"/>
              <w:marBottom w:val="0"/>
              <w:divBdr>
                <w:top w:val="none" w:sz="0" w:space="0" w:color="auto"/>
                <w:left w:val="none" w:sz="0" w:space="0" w:color="auto"/>
                <w:bottom w:val="none" w:sz="0" w:space="0" w:color="auto"/>
                <w:right w:val="none" w:sz="0" w:space="0" w:color="auto"/>
              </w:divBdr>
              <w:divsChild>
                <w:div w:id="1538548242">
                  <w:marLeft w:val="0"/>
                  <w:marRight w:val="0"/>
                  <w:marTop w:val="0"/>
                  <w:marBottom w:val="0"/>
                  <w:divBdr>
                    <w:top w:val="none" w:sz="0" w:space="0" w:color="auto"/>
                    <w:left w:val="none" w:sz="0" w:space="0" w:color="auto"/>
                    <w:bottom w:val="none" w:sz="0" w:space="0" w:color="auto"/>
                    <w:right w:val="none" w:sz="0" w:space="0" w:color="auto"/>
                  </w:divBdr>
                  <w:divsChild>
                    <w:div w:id="18766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4734">
      <w:bodyDiv w:val="1"/>
      <w:marLeft w:val="0"/>
      <w:marRight w:val="0"/>
      <w:marTop w:val="0"/>
      <w:marBottom w:val="0"/>
      <w:divBdr>
        <w:top w:val="none" w:sz="0" w:space="0" w:color="auto"/>
        <w:left w:val="none" w:sz="0" w:space="0" w:color="auto"/>
        <w:bottom w:val="none" w:sz="0" w:space="0" w:color="auto"/>
        <w:right w:val="none" w:sz="0" w:space="0" w:color="auto"/>
      </w:divBdr>
      <w:divsChild>
        <w:div w:id="176967891">
          <w:marLeft w:val="0"/>
          <w:marRight w:val="0"/>
          <w:marTop w:val="0"/>
          <w:marBottom w:val="0"/>
          <w:divBdr>
            <w:top w:val="none" w:sz="0" w:space="0" w:color="auto"/>
            <w:left w:val="none" w:sz="0" w:space="0" w:color="auto"/>
            <w:bottom w:val="none" w:sz="0" w:space="0" w:color="auto"/>
            <w:right w:val="none" w:sz="0" w:space="0" w:color="auto"/>
          </w:divBdr>
          <w:divsChild>
            <w:div w:id="894047784">
              <w:marLeft w:val="0"/>
              <w:marRight w:val="0"/>
              <w:marTop w:val="0"/>
              <w:marBottom w:val="0"/>
              <w:divBdr>
                <w:top w:val="none" w:sz="0" w:space="0" w:color="auto"/>
                <w:left w:val="none" w:sz="0" w:space="0" w:color="auto"/>
                <w:bottom w:val="none" w:sz="0" w:space="0" w:color="auto"/>
                <w:right w:val="none" w:sz="0" w:space="0" w:color="auto"/>
              </w:divBdr>
              <w:divsChild>
                <w:div w:id="405734959">
                  <w:marLeft w:val="0"/>
                  <w:marRight w:val="0"/>
                  <w:marTop w:val="0"/>
                  <w:marBottom w:val="0"/>
                  <w:divBdr>
                    <w:top w:val="none" w:sz="0" w:space="0" w:color="auto"/>
                    <w:left w:val="none" w:sz="0" w:space="0" w:color="auto"/>
                    <w:bottom w:val="none" w:sz="0" w:space="0" w:color="auto"/>
                    <w:right w:val="none" w:sz="0" w:space="0" w:color="auto"/>
                  </w:divBdr>
                  <w:divsChild>
                    <w:div w:id="134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6154">
      <w:bodyDiv w:val="1"/>
      <w:marLeft w:val="0"/>
      <w:marRight w:val="0"/>
      <w:marTop w:val="0"/>
      <w:marBottom w:val="0"/>
      <w:divBdr>
        <w:top w:val="none" w:sz="0" w:space="0" w:color="auto"/>
        <w:left w:val="none" w:sz="0" w:space="0" w:color="auto"/>
        <w:bottom w:val="none" w:sz="0" w:space="0" w:color="auto"/>
        <w:right w:val="none" w:sz="0" w:space="0" w:color="auto"/>
      </w:divBdr>
      <w:divsChild>
        <w:div w:id="1547790233">
          <w:marLeft w:val="0"/>
          <w:marRight w:val="0"/>
          <w:marTop w:val="0"/>
          <w:marBottom w:val="0"/>
          <w:divBdr>
            <w:top w:val="none" w:sz="0" w:space="0" w:color="auto"/>
            <w:left w:val="none" w:sz="0" w:space="0" w:color="auto"/>
            <w:bottom w:val="none" w:sz="0" w:space="0" w:color="auto"/>
            <w:right w:val="none" w:sz="0" w:space="0" w:color="auto"/>
          </w:divBdr>
          <w:divsChild>
            <w:div w:id="1253976229">
              <w:marLeft w:val="0"/>
              <w:marRight w:val="0"/>
              <w:marTop w:val="0"/>
              <w:marBottom w:val="0"/>
              <w:divBdr>
                <w:top w:val="none" w:sz="0" w:space="0" w:color="auto"/>
                <w:left w:val="none" w:sz="0" w:space="0" w:color="auto"/>
                <w:bottom w:val="none" w:sz="0" w:space="0" w:color="auto"/>
                <w:right w:val="none" w:sz="0" w:space="0" w:color="auto"/>
              </w:divBdr>
              <w:divsChild>
                <w:div w:id="820804899">
                  <w:marLeft w:val="0"/>
                  <w:marRight w:val="0"/>
                  <w:marTop w:val="0"/>
                  <w:marBottom w:val="0"/>
                  <w:divBdr>
                    <w:top w:val="none" w:sz="0" w:space="0" w:color="auto"/>
                    <w:left w:val="none" w:sz="0" w:space="0" w:color="auto"/>
                    <w:bottom w:val="none" w:sz="0" w:space="0" w:color="auto"/>
                    <w:right w:val="none" w:sz="0" w:space="0" w:color="auto"/>
                  </w:divBdr>
                  <w:divsChild>
                    <w:div w:id="15039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2745">
      <w:bodyDiv w:val="1"/>
      <w:marLeft w:val="0"/>
      <w:marRight w:val="0"/>
      <w:marTop w:val="0"/>
      <w:marBottom w:val="0"/>
      <w:divBdr>
        <w:top w:val="none" w:sz="0" w:space="0" w:color="auto"/>
        <w:left w:val="none" w:sz="0" w:space="0" w:color="auto"/>
        <w:bottom w:val="none" w:sz="0" w:space="0" w:color="auto"/>
        <w:right w:val="none" w:sz="0" w:space="0" w:color="auto"/>
      </w:divBdr>
      <w:divsChild>
        <w:div w:id="389498918">
          <w:marLeft w:val="0"/>
          <w:marRight w:val="0"/>
          <w:marTop w:val="0"/>
          <w:marBottom w:val="0"/>
          <w:divBdr>
            <w:top w:val="none" w:sz="0" w:space="0" w:color="auto"/>
            <w:left w:val="none" w:sz="0" w:space="0" w:color="auto"/>
            <w:bottom w:val="none" w:sz="0" w:space="0" w:color="auto"/>
            <w:right w:val="none" w:sz="0" w:space="0" w:color="auto"/>
          </w:divBdr>
          <w:divsChild>
            <w:div w:id="844052458">
              <w:marLeft w:val="0"/>
              <w:marRight w:val="0"/>
              <w:marTop w:val="0"/>
              <w:marBottom w:val="0"/>
              <w:divBdr>
                <w:top w:val="none" w:sz="0" w:space="0" w:color="auto"/>
                <w:left w:val="none" w:sz="0" w:space="0" w:color="auto"/>
                <w:bottom w:val="none" w:sz="0" w:space="0" w:color="auto"/>
                <w:right w:val="none" w:sz="0" w:space="0" w:color="auto"/>
              </w:divBdr>
              <w:divsChild>
                <w:div w:id="820464069">
                  <w:marLeft w:val="0"/>
                  <w:marRight w:val="0"/>
                  <w:marTop w:val="0"/>
                  <w:marBottom w:val="0"/>
                  <w:divBdr>
                    <w:top w:val="none" w:sz="0" w:space="0" w:color="auto"/>
                    <w:left w:val="none" w:sz="0" w:space="0" w:color="auto"/>
                    <w:bottom w:val="none" w:sz="0" w:space="0" w:color="auto"/>
                    <w:right w:val="none" w:sz="0" w:space="0" w:color="auto"/>
                  </w:divBdr>
                  <w:divsChild>
                    <w:div w:id="14875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5741">
      <w:bodyDiv w:val="1"/>
      <w:marLeft w:val="0"/>
      <w:marRight w:val="0"/>
      <w:marTop w:val="0"/>
      <w:marBottom w:val="0"/>
      <w:divBdr>
        <w:top w:val="none" w:sz="0" w:space="0" w:color="auto"/>
        <w:left w:val="none" w:sz="0" w:space="0" w:color="auto"/>
        <w:bottom w:val="none" w:sz="0" w:space="0" w:color="auto"/>
        <w:right w:val="none" w:sz="0" w:space="0" w:color="auto"/>
      </w:divBdr>
      <w:divsChild>
        <w:div w:id="283082624">
          <w:marLeft w:val="0"/>
          <w:marRight w:val="0"/>
          <w:marTop w:val="0"/>
          <w:marBottom w:val="0"/>
          <w:divBdr>
            <w:top w:val="none" w:sz="0" w:space="0" w:color="auto"/>
            <w:left w:val="none" w:sz="0" w:space="0" w:color="auto"/>
            <w:bottom w:val="none" w:sz="0" w:space="0" w:color="auto"/>
            <w:right w:val="none" w:sz="0" w:space="0" w:color="auto"/>
          </w:divBdr>
          <w:divsChild>
            <w:div w:id="578174620">
              <w:marLeft w:val="0"/>
              <w:marRight w:val="0"/>
              <w:marTop w:val="0"/>
              <w:marBottom w:val="0"/>
              <w:divBdr>
                <w:top w:val="none" w:sz="0" w:space="0" w:color="auto"/>
                <w:left w:val="none" w:sz="0" w:space="0" w:color="auto"/>
                <w:bottom w:val="none" w:sz="0" w:space="0" w:color="auto"/>
                <w:right w:val="none" w:sz="0" w:space="0" w:color="auto"/>
              </w:divBdr>
              <w:divsChild>
                <w:div w:id="136537696">
                  <w:marLeft w:val="0"/>
                  <w:marRight w:val="0"/>
                  <w:marTop w:val="0"/>
                  <w:marBottom w:val="0"/>
                  <w:divBdr>
                    <w:top w:val="none" w:sz="0" w:space="0" w:color="auto"/>
                    <w:left w:val="none" w:sz="0" w:space="0" w:color="auto"/>
                    <w:bottom w:val="none" w:sz="0" w:space="0" w:color="auto"/>
                    <w:right w:val="none" w:sz="0" w:space="0" w:color="auto"/>
                  </w:divBdr>
                  <w:divsChild>
                    <w:div w:id="1195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Soomin</dc:creator>
  <cp:keywords/>
  <dc:description/>
  <cp:lastModifiedBy>Cho, Soomin</cp:lastModifiedBy>
  <cp:revision>3</cp:revision>
  <dcterms:created xsi:type="dcterms:W3CDTF">2019-07-25T13:46:00Z</dcterms:created>
  <dcterms:modified xsi:type="dcterms:W3CDTF">2019-07-26T02:55:00Z</dcterms:modified>
</cp:coreProperties>
</file>