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40"/>
        </w:rPr>
        <w:t>차 용 증</w:t>
      </w:r>
    </w:p>
    <w:p>
      <w:pPr>
        <w:spacing w:after="160"/>
        <w:pBdr>
          <w:bottom w:val="single" w:sz="8" w:color="4472C4"/>
        </w:pBdr>
      </w:pPr>
    </w:p>
    <w:p>
      <w:pPr>
        <w:spacing w:after="200" w:before="0"/>
        <w:jc w:val="center"/>
      </w:pPr>
      <w:r>
        <w:rPr>
          <w:rFonts w:ascii="맑은 고딕" w:hAnsi="맑은 고딕" w:eastAsia="맑은 고딕"/>
          <w:b w:val="0"/>
          <w:color w:val="787878"/>
          <w:sz w:val="20"/>
        </w:rPr>
        <w:t>(금전소비대차계약서)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채무자(차주)와 금전대차인(대주)은 다음과 같이 금전소비대차계약을 체결한다.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 주 (채무자)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성명 :                    (서명 :            )    주민등록번호 :                    -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연락처 :                                 주소 :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금전대차인 (대주)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성명 :                    (서명 :            )    주민등록번호 :                    -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연락처 :                                 주소 :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sz w:val="21"/>
        </w:rPr>
        <w:t>제1조 (금전의 지급) 대주는 채무자에게 다음과 같은 조건으로 금전을 대차한다.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대차 금액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                          원整 (₩                    원)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 자 율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         %   (법정 최고이자율 이내)   ※ 무이자인 경우 '무이자' 기재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변제 기일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 년    월    일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지급 방법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□ 계좌이체   □ 현금 직접 지급   □ 기타 :</w:t>
            </w:r>
          </w:p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맑은 고딕" w:hAnsi="맑은 고딕" w:eastAsia="맑은 고딕"/>
          <w:b/>
          <w:sz w:val="21"/>
        </w:rPr>
        <w:t>제2조 (지연이자)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채무자가 제1조의 변제기일까지 변제하지 아니하는 때에는 연        %의 비율로 계산된 지연손해금을 지급하여야 한다. (법정 최고이자율 이내로 한정)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1"/>
        </w:rPr>
        <w:t>제3조 (기한의 이익 상실)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① 채무자가 이자 또는 변제금을 정해진 기일에 2회 이상 지급하지 아니한 때</w:t>
        <w:br/>
        <w:t>② 채무자가 강제집행, 회생절차, 파산선고 등을 받은 때</w:t>
        <w:br/>
        <w:t>③ 담보 가치가 현저히 감소한 때</w:t>
        <w:br/>
        <w:t>→ 대주는 기한의 이익을 상실시켜 잔여 원금의 즉시 변제를 청구할 수 있다.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1"/>
        </w:rPr>
        <w:t>제4조 (계약의 해지)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당사자는 상대방에 대한 서면(문자 포함) 통지로 본 계약을 해지할 수 있다. 단, 이미 발생한 채무는 소멸하지 않는다.</w:t>
      </w:r>
    </w:p>
    <w:p>
      <w:pPr>
        <w:spacing w:after="160" w:before="0"/>
      </w:pPr>
    </w:p>
    <w:p>
      <w:pPr>
        <w:spacing w:after="200" w:before="0"/>
        <w:jc w:val="center"/>
      </w:pPr>
      <w:r>
        <w:rPr>
          <w:rFonts w:ascii="맑은 고딕" w:hAnsi="맑은 고딕" w:eastAsia="맑은 고딕"/>
          <w:b w:val="0"/>
          <w:sz w:val="21"/>
        </w:rPr>
        <w:t>2026 년          월    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금전대차인 (대주) :              (인)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차 주 (채무자) :              (인)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/>
          <w:b w:val="0"/>
          <w:color w:val="963C3C"/>
          <w:sz w:val="17"/>
        </w:rPr>
        <w:t>※ 본 서식은 참고용 샘플이며, 구체적인 거래는 법률 전문가 상담을 권장합니다. 금전소비대차계약은 대주·채무자 간 합의로 성립하며, 이자는 법정 최고이자율(연 20%)을 초과할 수 없습니다.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