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sz w:val="34"/>
        </w:rPr>
        <w:t xml:space="preserve">Design Write-Up — Customer Portal API</w:t>
      </w:r>
    </w:p>
    <w:p>
      <w:pPr>
        <w:pStyle w:val="Subtitle"/>
      </w:pPr>
      <w:r>
        <w:rPr>
          <w:sz w:val="18"/>
        </w:rPr>
        <w:t xml:space="preserve">Loo Kai | 17 July 2026</w:t>
      </w:r>
    </w:p>
    <w:p>
      <w:pPr>
        <w:pStyle w:val="Heading1"/>
      </w:pPr>
      <w:r>
        <w:rPr>
          <w:sz w:val="24"/>
        </w:rPr>
        <w:t xml:space="preserve">Approach</w:t>
      </w:r>
    </w:p>
    <w:p>
      <w:r>
        <w:rPr>
          <w:sz w:val="20"/>
        </w:rPr>
        <w:t xml:space="preserve">I built the Customer Portal API as a layered </w:t>
      </w:r>
      <w:r>
        <w:rPr>
          <w:b/>
          <w:sz w:val="20"/>
        </w:rPr>
        <w:t xml:space="preserve">Clean Architecture</w:t>
      </w:r>
      <w:r>
        <w:rPr>
          <w:sz w:val="20"/>
        </w:rPr>
        <w:t xml:space="preserve"> application in TypeScript. The guiding rule is that dependencies point inward: the innermost </w:t>
      </w:r>
      <w:r>
        <w:rPr>
          <w:b/>
          <w:sz w:val="20"/>
        </w:rPr>
        <w:t xml:space="preserve">domain</w:t>
      </w:r>
      <w:r>
        <w:rPr>
          <w:sz w:val="20"/>
        </w:rPr>
        <w:t xml:space="preserve"> layer knows nothing about the web or the database, and the outer layers depend on it — never the reverse. This keeps the business rules isolated from framework and infrastructure concerns.</w:t>
      </w:r>
    </w:p>
    <w:p>
      <w:r>
        <w:rPr>
          <w:sz w:val="20"/>
        </w:rPr>
        <w:t xml:space="preserve">The four layers: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Domain</w:t>
      </w:r>
      <w:r>
        <w:rPr>
          <w:sz w:val="20"/>
        </w:rPr>
        <w:t xml:space="preserve"> — framework-free models, enums, the </w:t>
      </w:r>
      <w:r>
        <w:rPr>
          <w:rStyle w:val="CodeChar"/>
        </w:rPr>
        <w:t xml:space="preserve">AppError</w:t>
      </w:r>
      <w:r>
        <w:rPr>
          <w:sz w:val="20"/>
        </w:rPr>
        <w:t xml:space="preserve"> hierarchy, and </w:t>
      </w:r>
      <w:r>
        <w:rPr>
          <w:b/>
          <w:sz w:val="20"/>
        </w:rPr>
        <w:t xml:space="preserve">repository interfaces</w:t>
      </w:r>
      <w:r>
        <w:rPr>
          <w:sz w:val="20"/>
        </w:rPr>
        <w:t xml:space="preserve">. Nothing here imports Express or TypeORM.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Application</w:t>
      </w:r>
      <w:r>
        <w:rPr>
          <w:sz w:val="20"/>
        </w:rPr>
        <w:t xml:space="preserve"> — use-case </w:t>
      </w:r>
      <w:r>
        <w:rPr>
          <w:b/>
          <w:sz w:val="20"/>
        </w:rPr>
        <w:t xml:space="preserve">services</w:t>
      </w:r>
      <w:r>
        <w:rPr>
          <w:sz w:val="20"/>
        </w:rPr>
        <w:t xml:space="preserve">, DTOs, Zod validators, and outbound </w:t>
      </w:r>
      <w:r>
        <w:rPr>
          <w:b/>
          <w:sz w:val="20"/>
        </w:rPr>
        <w:t xml:space="preserve">ports</w:t>
      </w:r>
      <w:r>
        <w:rPr>
          <w:sz w:val="20"/>
        </w:rPr>
        <w:t xml:space="preserve"> (</w:t>
      </w:r>
      <w:r>
        <w:rPr>
          <w:rStyle w:val="CodeChar"/>
        </w:rPr>
        <w:t xml:space="preserve">ILogger</w:t>
      </w:r>
      <w:r>
        <w:rPr>
          <w:sz w:val="20"/>
        </w:rPr>
        <w:t xml:space="preserve">, </w:t>
      </w:r>
      <w:r>
        <w:rPr>
          <w:rStyle w:val="CodeChar"/>
        </w:rPr>
        <w:t xml:space="preserve">ICacheService</w:t>
      </w:r>
      <w:r>
        <w:rPr>
          <w:sz w:val="20"/>
        </w:rPr>
        <w:t xml:space="preserve">, </w:t>
      </w:r>
      <w:r>
        <w:rPr>
          <w:rStyle w:val="CodeChar"/>
        </w:rPr>
        <w:t xml:space="preserve">IEmailService</w:t>
      </w:r>
      <w:r>
        <w:rPr>
          <w:sz w:val="20"/>
        </w:rPr>
        <w:t xml:space="preserve">, </w:t>
      </w:r>
      <w:r>
        <w:rPr>
          <w:rStyle w:val="CodeChar"/>
        </w:rPr>
        <w:t xml:space="preserve">ITokenService</w:t>
      </w:r>
      <w:r>
        <w:rPr>
          <w:sz w:val="20"/>
        </w:rPr>
        <w:t xml:space="preserve">, </w:t>
      </w:r>
      <w:r>
        <w:rPr>
          <w:rStyle w:val="CodeChar"/>
        </w:rPr>
        <w:t xml:space="preserve">IHasher</w:t>
      </w:r>
      <w:r>
        <w:rPr>
          <w:sz w:val="20"/>
        </w:rPr>
        <w:t xml:space="preserve">). Services depend only on interfaces.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Infrastructure</w:t>
      </w:r>
      <w:r>
        <w:rPr>
          <w:sz w:val="20"/>
        </w:rPr>
        <w:t xml:space="preserve"> — the implementations: TypeORM entities and repositories, config, Pino logging, cache and email adapters, JWT and bcrypt.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Presentation</w:t>
      </w:r>
      <w:r>
        <w:rPr>
          <w:sz w:val="20"/>
        </w:rPr>
        <w:t xml:space="preserve"> — Express controllers, routes, middleware (auth, role guard, validation, error handling), and Swagger.</w:t>
      </w:r>
    </w:p>
    <w:p>
      <w:r>
        <w:rPr>
          <w:sz w:val="20"/>
        </w:rPr>
        <w:t xml:space="preserve">A single </w:t>
      </w:r>
      <w:r>
        <w:rPr>
          <w:b/>
          <w:sz w:val="20"/>
        </w:rPr>
        <w:t xml:space="preserve">composition root</w:t>
      </w:r>
      <w:r>
        <w:rPr>
          <w:sz w:val="20"/>
        </w:rPr>
        <w:t xml:space="preserve"> (</w:t>
      </w:r>
      <w:r>
        <w:rPr>
          <w:rStyle w:val="CodeChar"/>
        </w:rPr>
        <w:t xml:space="preserve">container.ts</w:t>
      </w:r>
      <w:r>
        <w:rPr>
          <w:sz w:val="20"/>
        </w:rPr>
        <w:t xml:space="preserve">) wires interfaces to implementations with </w:t>
      </w:r>
      <w:r>
        <w:rPr>
          <w:b/>
          <w:sz w:val="20"/>
        </w:rPr>
        <w:t xml:space="preserve">tsyringe</w:t>
      </w:r>
      <w:r>
        <w:rPr>
          <w:sz w:val="20"/>
        </w:rPr>
        <w:t xml:space="preserve">: every class receives its dependencies by constructor injection — Dependency Inversion in practice.</w:t>
      </w:r>
    </w:p>
    <w:p>
      <w:pPr>
        <w:pStyle w:val="Heading1"/>
      </w:pPr>
      <w:r>
        <w:rPr>
          <w:sz w:val="24"/>
        </w:rPr>
        <w:t xml:space="preserve">Adapting the brief to Node.js</w:t>
      </w:r>
    </w:p>
    <w:p>
      <w:r>
        <w:rPr>
          <w:sz w:val="20"/>
        </w:rPr>
        <w:t xml:space="preserve">The brief says "using NodeJS" up front, while two of its requirement lines name </w:t>
      </w:r>
      <w:r>
        <w:rPr>
          <w:b/>
          <w:sz w:val="20"/>
        </w:rPr>
        <w:t xml:space="preserve">.NET-only tools</w:t>
      </w:r>
      <w:r>
        <w:rPr>
          <w:sz w:val="20"/>
        </w:rPr>
        <w:t xml:space="preserve">: logging "using a logging library like Serilog", and abstracting </w:t>
      </w:r>
      <w:r>
        <w:rPr>
          <w:b/>
          <w:sz w:val="20"/>
        </w:rPr>
        <w:t xml:space="preserve">Entity Framework Core</w:t>
      </w:r>
      <w:r>
        <w:rPr>
          <w:sz w:val="20"/>
        </w:rPr>
        <w:t xml:space="preserve"> from business logic. Neither runs on Node, so the two requirements can't both be satisfied as written. I resolved it in favour of the stated platform and read each .NET reference as naming a </w:t>
      </w:r>
      <w:r>
        <w:rPr>
          <w:b/>
          <w:sz w:val="20"/>
        </w:rPr>
        <w:t xml:space="preserve">capability</w:t>
      </w:r>
      <w:r>
        <w:rPr>
          <w:sz w:val="20"/>
        </w:rPr>
        <w:t xml:space="preserve"> rather than a product: </w:t>
      </w:r>
      <w:r>
        <w:rPr>
          <w:b/>
          <w:sz w:val="20"/>
        </w:rPr>
        <w:t xml:space="preserve">TypeORM</w:t>
      </w:r>
      <w:r>
        <w:rPr>
          <w:sz w:val="20"/>
        </w:rPr>
        <w:t xml:space="preserve"> for the ORM with code-first migrations, and </w:t>
      </w:r>
      <w:r>
        <w:rPr>
          <w:b/>
          <w:sz w:val="20"/>
        </w:rPr>
        <w:t xml:space="preserve">Pino</w:t>
      </w:r>
      <w:r>
        <w:rPr>
          <w:sz w:val="20"/>
        </w:rPr>
        <w:t xml:space="preserve"> for structured logging. The brief's </w:t>
      </w:r>
      <w:r>
        <w:rPr>
          <w:b/>
          <w:sz w:val="20"/>
        </w:rPr>
        <w:t xml:space="preserve">Dependency Injection</w:t>
      </w:r>
      <w:r>
        <w:rPr>
          <w:sz w:val="20"/>
        </w:rPr>
        <w:t xml:space="preserve"> requirement is a language-agnostic principle rather than a .NET tool; I implemented it with </w:t>
      </w:r>
      <w:r>
        <w:rPr>
          <w:b/>
          <w:sz w:val="20"/>
        </w:rPr>
        <w:t xml:space="preserve">tsyringe</w:t>
      </w:r>
      <w:r>
        <w:rPr>
          <w:sz w:val="20"/>
        </w:rPr>
        <w:t xml:space="preserve">.</w:t>
      </w:r>
    </w:p>
    <w:p>
      <w:r>
        <w:rPr>
          <w:sz w:val="20"/>
        </w:rPr>
        <w:t xml:space="preserve">Other deliberate choices: </w:t>
      </w:r>
      <w:r>
        <w:rPr>
          <w:b/>
          <w:sz w:val="20"/>
        </w:rPr>
        <w:t xml:space="preserve">PostgreSQL</w:t>
      </w:r>
      <w:r>
        <w:rPr>
          <w:sz w:val="20"/>
        </w:rPr>
        <w:t xml:space="preserve">; </w:t>
      </w:r>
      <w:r>
        <w:rPr>
          <w:b/>
          <w:sz w:val="20"/>
        </w:rPr>
        <w:t xml:space="preserve">Express 5</w:t>
      </w:r>
      <w:r>
        <w:rPr>
          <w:sz w:val="20"/>
        </w:rPr>
        <w:t xml:space="preserve"> with hand-built layers (rather than a batteries-included framework) so the Clean-Architecture structure is explicit; </w:t>
      </w:r>
      <w:r>
        <w:rPr>
          <w:b/>
          <w:sz w:val="20"/>
        </w:rPr>
        <w:t xml:space="preserve">Zod</w:t>
      </w:r>
      <w:r>
        <w:rPr>
          <w:sz w:val="20"/>
        </w:rPr>
        <w:t xml:space="preserve"> for boundary validation; and </w:t>
      </w:r>
      <w:r>
        <w:rPr>
          <w:b/>
          <w:sz w:val="20"/>
        </w:rPr>
        <w:t xml:space="preserve">JWT + bcryptjs</w:t>
      </w:r>
      <w:r>
        <w:rPr>
          <w:sz w:val="20"/>
        </w:rPr>
        <w:t xml:space="preserve"> for auth. A </w:t>
      </w:r>
      <w:r>
        <w:rPr>
          <w:rStyle w:val="CodeChar"/>
        </w:rPr>
        <w:t xml:space="preserve">Product</w:t>
      </w:r>
      <w:r>
        <w:rPr>
          <w:sz w:val="20"/>
        </w:rPr>
        <w:t xml:space="preserve"> entity was introduced so orders reference real line items and totals are computed server-side rather than trusted from the client.</w:t>
      </w:r>
    </w:p>
    <w:p>
      <w:pPr>
        <w:pStyle w:val="Heading1"/>
      </w:pPr>
      <w:r>
        <w:rPr>
          <w:sz w:val="24"/>
        </w:rPr>
        <w:t xml:space="preserve">Key design decisions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Repository Pattern abstracts the ORM.</w:t>
      </w:r>
      <w:r>
        <w:rPr>
          <w:sz w:val="20"/>
        </w:rPr>
        <w:t xml:space="preserve"> Services never touch TypeORM; they depend on repository interfaces, and the TypeORM implementations map persistence entities to plain domain models. This satisfies the brief's "abstract EF Core from business logic", and made database-free testing possible.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Code-first migrations, </w:t>
      </w:r>
      <w:r>
        <w:rPr>
          <w:rStyle w:val="CodeChar"/>
          <w:b/>
        </w:rPr>
        <w:t xml:space="preserve">synchronize</w:t>
      </w:r>
      <w:r>
        <w:rPr>
          <w:b/>
          <w:sz w:val="20"/>
        </w:rPr>
        <w:t xml:space="preserve"> off.</w:t>
      </w:r>
      <w:r>
        <w:rPr>
          <w:sz w:val="20"/>
        </w:rPr>
        <w:t xml:space="preserve"> The schema is owned by an explicit, reviewable migration — never auto-synced in production.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Global error handling, and no 500 the client can cause.</w:t>
      </w:r>
      <w:r>
        <w:rPr>
          <w:sz w:val="20"/>
        </w:rPr>
        <w:t xml:space="preserve"> A custom </w:t>
      </w:r>
      <w:r>
        <w:rPr>
          <w:rStyle w:val="CodeChar"/>
        </w:rPr>
        <w:t xml:space="preserve">AppError</w:t>
      </w:r>
      <w:r>
        <w:rPr>
          <w:sz w:val="20"/>
        </w:rPr>
        <w:t xml:space="preserve"> hierarchy carries HTTP status codes; one middleware maps them to consistent JSON responses. A </w:t>
      </w:r>
      <w:r>
        <w:rPr>
          <w:rStyle w:val="CodeChar"/>
        </w:rPr>
        <w:t xml:space="preserve">500</w:t>
      </w:r>
      <w:r>
        <w:rPr>
          <w:sz w:val="20"/>
        </w:rPr>
        <w:t xml:space="preserve"> should mean *we* broke, so anything the caller can provoke must be a 4xx: malformed JSON is rejected by the body parser before any route runs, where Zod never sees it, so the handler restates those as </w:t>
      </w:r>
      <w:r>
        <w:rPr>
          <w:rStyle w:val="CodeChar"/>
        </w:rPr>
        <w:t xml:space="preserve">400</w:t>
      </w:r>
      <w:r>
        <w:rPr>
          <w:sz w:val="20"/>
        </w:rPr>
        <w:t xml:space="preserve">/</w:t>
      </w:r>
      <w:r>
        <w:rPr>
          <w:rStyle w:val="CodeChar"/>
        </w:rPr>
        <w:t xml:space="preserve">413</w:t>
      </w:r>
      <w:r>
        <w:rPr>
          <w:sz w:val="20"/>
        </w:rPr>
        <w:t xml:space="preserve"> rather than letting them fall through. Unexpected errors are logged and returned as a generic 500 so internals never leak.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The order lifecycle is a domain rule, not a controller check.</w:t>
      </w:r>
      <w:r>
        <w:rPr>
          <w:sz w:val="20"/>
        </w:rPr>
        <w:t xml:space="preserve"> Legal transitions live in one policy in the domain layer, with </w:t>
      </w:r>
      <w:r>
        <w:rPr>
          <w:rStyle w:val="CodeChar"/>
        </w:rPr>
        <w:t xml:space="preserve">Delivered</w:t>
      </w:r>
      <w:r>
        <w:rPr>
          <w:sz w:val="20"/>
        </w:rPr>
        <w:t xml:space="preserve"> and </w:t>
      </w:r>
      <w:r>
        <w:rPr>
          <w:rStyle w:val="CodeChar"/>
        </w:rPr>
        <w:t xml:space="preserve">Cancelled</w:t>
      </w:r>
      <w:r>
        <w:rPr>
          <w:sz w:val="20"/>
        </w:rPr>
        <w:t xml:space="preserve"> terminal. Both the customer cancel path and the admin status-update path consult it, so "you can't cancel a shipped order" and "an admin can't ship a cancelled one" are the same rule enforced once rather than two checks that can drift apart.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Security.</w:t>
      </w:r>
      <w:r>
        <w:rPr>
          <w:sz w:val="20"/>
        </w:rPr>
        <w:t xml:space="preserve"> Passwords are bcrypt-hashed; login returns a uniform "Invalid credentials" message to avoid user enumeration; JWTs carry the role for authorization; Helmet, CORS, and rate-limiting protect the surface.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Deactivation takes effect immediately.</w:t>
      </w:r>
      <w:r>
        <w:rPr>
          <w:sz w:val="20"/>
        </w:rPr>
        <w:t xml:space="preserve"> A JWT outlives the account it was signed for, so verifying the signature isn't enough: the auth middleware also confirms the subject still resolves to a live, active customer. Without it, deactivating an account would leave the customer with a fully working token until it expired. The check reads through the profile cache — already invalidated on deactivate/delete — so on a warm cache it costs no extra query.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Input is validated on meaning, not shape.</w:t>
      </w:r>
      <w:r>
        <w:rPr>
          <w:sz w:val="20"/>
        </w:rPr>
        <w:t xml:space="preserve"> Phone numbers are checked on the digits they carry (7–15, per E.164) rather than their punctuation, so real formats like </w:t>
      </w:r>
      <w:r>
        <w:rPr>
          <w:rStyle w:val="CodeChar"/>
        </w:rPr>
        <w:t xml:space="preserve">+60 12-345 6789</w:t>
      </w:r>
      <w:r>
        <w:rPr>
          <w:sz w:val="20"/>
        </w:rPr>
        <w:t xml:space="preserve"> are accepted while nonsense is rejected. An order may list a product only once, so quantities can't be split across duplicate lines. Bodies are strict: an unknown field is a 422 rather than an ignored key, so a typo — or a hopeful </w:t>
      </w:r>
      <w:r>
        <w:rPr>
          <w:rStyle w:val="CodeChar"/>
        </w:rPr>
        <w:t xml:space="preserve">"role": "admin"</w:t>
      </w:r>
      <w:r>
        <w:rPr>
          <w:sz w:val="20"/>
        </w:rPr>
        <w:t xml:space="preserve"> on register — gets a straight answer instead of a 201 that quietly dropped it.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Logging is operator data, not an API surface.</w:t>
      </w:r>
      <w:r>
        <w:rPr>
          <w:sz w:val="20"/>
        </w:rPr>
        <w:t xml:space="preserve"> Pino emits one terse line per request plus explicit events for login, order placement and every admin action, with credentials redacted — JSON for aggregators, human-readable when </w:t>
      </w:r>
      <w:r>
        <w:rPr>
          <w:rStyle w:val="CodeChar"/>
        </w:rPr>
        <w:t xml:space="preserve">LOG_PRETTY</w:t>
      </w:r>
      <w:r>
        <w:rPr>
          <w:sz w:val="20"/>
        </w:rPr>
        <w:t xml:space="preserve"> is set. I exposed no log endpoint: logs carry customer emails and login events, so serving them over the API would turn an operations concern into an information-disclosure risk. An optional Compose profile wires in a log viewer instead.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Bonus features, all behind interfaces.</w:t>
      </w:r>
      <w:r>
        <w:rPr>
          <w:sz w:val="20"/>
        </w:rPr>
        <w:t xml:space="preserve"> Pagination on every listing endpoint; an </w:t>
      </w:r>
      <w:r>
        <w:rPr>
          <w:rStyle w:val="CodeChar"/>
        </w:rPr>
        <w:t xml:space="preserve">ICacheService</w:t>
      </w:r>
      <w:r>
        <w:rPr>
          <w:sz w:val="20"/>
        </w:rPr>
        <w:t xml:space="preserve"> (in-memory by default, Redis-swappable) caching profile and order-status reads with write-invalidation; and </w:t>
      </w:r>
      <w:r>
        <w:rPr>
          <w:rStyle w:val="CodeChar"/>
        </w:rPr>
        <w:t xml:space="preserve">IEmailService</w:t>
      </w:r>
      <w:r>
        <w:rPr>
          <w:sz w:val="20"/>
        </w:rPr>
        <w:t xml:space="preserve"> notifications on order placed / shipped, failures caught so they never fail the order. The order-status cache stores the owner alongside the status, so a hit can be authorized without re-reading the order — otherwise the "cached" read would still hit the database.</w:t>
      </w:r>
    </w:p>
    <w:p>
      <w:pPr>
        <w:pStyle w:val="Heading1"/>
      </w:pPr>
      <w:r>
        <w:rPr>
          <w:sz w:val="24"/>
        </w:rPr>
        <w:t xml:space="preserve">Challenges &amp; solutions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A passing test suite didn't mean the app ran.</w:t>
      </w:r>
      <w:r>
        <w:rPr>
          <w:sz w:val="20"/>
        </w:rPr>
        <w:t xml:space="preserve"> The DI container works out what each class needs from type information the compiler leaves behind. The test runner produced it; the dev runner didn't — so every test passed while the app itself crashed on startup. The fix was to name each dependency explicitly rather than rely on that inference. The lesson stuck: green tests prove the code they cover, not that the thing boots.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The database returned money as text.</w:t>
      </w:r>
      <w:r>
        <w:rPr>
          <w:sz w:val="20"/>
        </w:rPr>
        <w:t xml:space="preserve"> PostgreSQL hands back decimal columns as strings to protect precision, so a 25.50 price arrived as </w:t>
      </w:r>
      <w:r>
        <w:rPr>
          <w:rStyle w:val="CodeChar"/>
        </w:rPr>
        <w:t xml:space="preserve">"25.50"</w:t>
      </w:r>
      <w:r>
        <w:rPr>
          <w:sz w:val="20"/>
        </w:rPr>
        <w:t xml:space="preserve"> — and in JavaScript, adding that to a number joins them as text instead of summing. A transformer now converts decimals at the database boundary, so totals are real numbers everywhere above it.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Swagger quietly documented nothing.</w:t>
      </w:r>
      <w:r>
        <w:rPr>
          <w:sz w:val="20"/>
        </w:rPr>
        <w:t xml:space="preserve"> The docs page loaded fine but listed zero endpoints: the library that scans files for annotations treats </w:t>
      </w:r>
      <w:r>
        <w:rPr>
          <w:rStyle w:val="CodeChar"/>
        </w:rPr>
        <w:t xml:space="preserve">\</w:t>
      </w:r>
      <w:r>
        <w:rPr>
          <w:sz w:val="20"/>
        </w:rPr>
        <w:t xml:space="preserve"> as an escape character, so the Windows paths matched nothing — and it returned an empty result rather than an error. Forward slashes fixed it. That's why I now check the generated spec itself instead of trusting that the page came up.</w:t>
      </w:r>
    </w:p>
    <w:p>
      <w:pPr>
        <w:pStyle w:val="ListParagraph"/>
        <w:numPr>
          <w:ilvl w:val="0"/>
          <w:numId w:val="1"/>
        </w:numPr>
      </w:pPr>
      <w:r>
        <w:rPr>
          <w:b/>
          <w:sz w:val="20"/>
        </w:rPr>
        <w:t xml:space="preserve">Using AI agents moved where the effort goes.</w:t>
      </w:r>
      <w:r>
        <w:rPr>
          <w:sz w:val="20"/>
        </w:rPr>
        <w:t xml:space="preserve"> I built this with heavy use of AI coding agents. Producing a layered app that way is fast, so the real work becomes deciding what to accept: agents write confident code that passes its own tests, which makes "it looks correct" worth very little. I treated agent output as unverified until I had driven the endpoints myself and read the responses. That caught two bugs that read perfectly well on the page — an admin could move a cancelled order back to </w:t>
      </w:r>
      <w:r>
        <w:rPr>
          <w:rStyle w:val="CodeChar"/>
        </w:rPr>
        <w:t xml:space="preserve">Shipped</w:t>
      </w:r>
      <w:r>
        <w:rPr>
          <w:sz w:val="20"/>
        </w:rPr>
        <w:t xml:space="preserve">, and deactivating a customer left their token working until it expired — each now a single rule in the domain layer, pinned by a test that fails without the fix.</w:t>
      </w:r>
    </w:p>
    <w:p>
      <w:pPr>
        <w:pStyle w:val="Heading1"/>
      </w:pPr>
      <w:r>
        <w:rPr>
          <w:sz w:val="24"/>
        </w:rPr>
        <w:t xml:space="preserve">Testing &amp; verification</w:t>
      </w:r>
    </w:p>
    <w:p>
      <w:r>
        <w:rPr>
          <w:sz w:val="20"/>
        </w:rPr>
        <w:t xml:space="preserve">The Jest/Supertest suite exercises the </w:t>
      </w:r>
      <w:r>
        <w:rPr>
          <w:b/>
          <w:sz w:val="20"/>
        </w:rPr>
        <w:t xml:space="preserve">real Express app</w:t>
      </w:r>
      <w:r>
        <w:rPr>
          <w:sz w:val="20"/>
        </w:rPr>
        <w:t xml:space="preserve"> wired to in-memory repositories through the production DI tokens — no database required — covering auth, profile and password flows, input validation, the order lifecycle rules, ownership checks, pagination, and role-based authorization.</w:t>
      </w:r>
    </w:p>
    <w:p>
      <w:r>
        <w:rPr>
          <w:sz w:val="20"/>
        </w:rPr>
        <w:t xml:space="preserve">That suite deliberately swaps the database out, so it can't vouch for the persistence layer — and a console email driver proves nothing about SMTP. Both are verified by running the whole stack under Docker: migrations applying to an empty database, the decimal transformer returning real numbers, the foreign-key cascade when a customer with orders is deleted, and the order emails genuinely arriving in a real inbox (Compose starts a Mailpit SMTP server alongside the API, so a reviewer can watch them land). Knowing which claims a given test can and cannot support is the point.</w:t>
      </w:r>
    </w:p>
    <w:p>
      <w:pPr>
        <w:pStyle w:val="Heading1"/>
      </w:pPr>
      <w:r>
        <w:rPr>
          <w:sz w:val="24"/>
        </w:rPr>
        <w:t xml:space="preserve">Possible next steps</w:t>
      </w:r>
    </w:p>
    <w:p>
      <w:r>
        <w:rPr>
          <w:sz w:val="20"/>
        </w:rPr>
        <w:t xml:space="preserve">Refresh tokens and token revocation; transactional order creation with stock decrement; structured audit logging; integration tests against a disposable Postgres in CI; and OpenAPI-driven contract tests.</w:t>
      </w:r>
    </w:p>
    <w:sectPr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595959"/>
      </w:rPr>
      <w:fldChar w:fldCharType="begin"/>
    </w:r>
    <w:r>
      <w:rPr>
        <w:sz w:val="18"/>
        <w:color w:val="595959"/>
      </w:rPr>
      <w:instrText xml:space="preserve"> PAGE </w:instrText>
    </w:r>
    <w:r>
      <w:rPr>
        <w:sz w:val="18"/>
        <w:color w:val="595959"/>
      </w:rPr>
      <w:fldChar w:fldCharType="separate"/>
    </w:r>
    <w:r>
      <w:rPr>
        <w:sz w:val="18"/>
        <w:color w:val="595959"/>
      </w:rPr>
      <w:t>1</w:t>
    </w:r>
    <w:r>
      <w:rPr>
        <w:sz w:val="18"/>
        <w:color w:val="595959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szCs w:val="20"/>
      </w:rPr>
    </w:rPrDefault>
    <w:pPrDefault>
      <w:pPr>
        <w:spacing w:after="120" w:line="252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0"/>
      <w:jc w:val="center"/>
    </w:pPr>
    <w:rPr>
      <w:b/>
      <w:sz w:val="34"/>
    </w:rPr>
  </w:style>
  <w:style w:type="paragraph" w:styleId="Subtitle">
    <w:name w:val="Subtitle"/>
    <w:basedOn w:val="Normal"/>
    <w:next w:val="Normal"/>
    <w:qFormat/>
    <w:pPr>
      <w:spacing w:before="40" w:after="240"/>
      <w:jc w:val="center"/>
    </w:pPr>
    <w:rPr>
      <w:i/>
      <w:color w:val="595959"/>
      <w:sz w:val="18"/>
    </w:rPr>
  </w:style>
  <w:style w:type="paragraph" w:styleId="Heading1">
    <w:name w:val="heading 1"/>
    <w:basedOn w:val="Normal"/>
    <w:next w:val="Normal"/>
    <w:qFormat/>
    <w:pPr>
      <w:keepNext/>
      <w:pBdr>
        <w:bottom w:val="single" w:sz="4" w:space="2" w:color="A6A6A6"/>
      </w:pBdr>
      <w:spacing w:before="240" w:after="100"/>
      <w:jc w:val="left"/>
      <w:outlineLvl w:val="0"/>
    </w:pPr>
    <w:rPr>
      <w:b/>
      <w:sz w:val="24"/>
    </w:rPr>
  </w:style>
  <w:style w:type="paragraph" w:styleId="ListParagraph">
    <w:name w:val="List Paragraph"/>
    <w:basedOn w:val="Normal"/>
    <w:qFormat/>
    <w:pPr>
      <w:spacing w:after="80"/>
      <w:contextualSpacing/>
    </w:pPr>
  </w:style>
  <w:style w:type="character" w:styleId="CodeChar">
    <w:name w:val="Code Char"/>
    <w:qFormat/>
    <w:rPr>
      <w:rFonts w:ascii="Consolas" w:hAnsi="Consolas" w:cs="Consolas"/>
      <w:color w:val="A31515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 Write-Up â€” Customer Portal API</dc:title>
  <dc:creator>Loo Kai</dc:creator>
  <cp:lastModifiedBy>Loo Kai</cp:lastModifiedBy>
  <dcterms:created xsi:type="dcterms:W3CDTF">2026-07-16T16:04:31Z</dcterms:created>
  <dcterms:modified xsi:type="dcterms:W3CDTF">2026-07-16T16:04:31Z</dcterms:modified>
</cp:coreProperties>
</file>