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00" w:after="60" w:line="276" w:lineRule="auto"/>
      </w:pPr>
      <w:r>
        <w:rPr>
          <w:rFonts w:ascii="Calibri" w:hAnsi="Calibri"/>
          <w:b/>
          <w:sz w:val="20"/>
          <w:color w:val="1F3864"/>
        </w:rPr>
        <w:t xml:space="preserve">CQUNIVERSITY AUSTRALIA — SCHOOL OF ENGINEERING &amp; TECHNOLOGY</w:t>
      </w:r>
    </w:p>
    <w:p>
      <w:pPr>
        <w:jc w:val="center"/>
        <w:spacing w:before="40" w:after="80" w:line="276" w:lineRule="auto"/>
      </w:pPr>
      <w:r>
        <w:rPr>
          <w:rFonts w:ascii="Calibri" w:hAnsi="Calibri"/>
          <w:b/>
          <w:sz w:val="26"/>
          <w:color w:val="475569"/>
        </w:rPr>
        <w:t xml:space="preserve">COIT20270 App Development for Mobile Platforms</w:t>
      </w:r>
    </w:p>
    <w:p>
      <w:pPr>
        <w:jc w:val="center"/>
        <w:spacing w:before="80" w:after="120" w:line="276" w:lineRule="auto"/>
      </w:pPr>
      <w:r>
        <w:rPr>
          <w:rFonts w:ascii="Calibri" w:hAnsi="Calibri"/>
          <w:b/>
          <w:sz w:val="36"/>
          <w:color w:val="0F172A"/>
        </w:rPr>
        <w:t xml:space="preserve">Assignment 3: Usability Goals &amp; Empirical Evaluation Report</w:t>
      </w:r>
    </w:p>
    <w:p>
      <w:pPr>
        <w:jc w:val="center"/>
        <w:spacing w:before="40" w:after="240" w:line="276" w:lineRule="auto"/>
      </w:pPr>
      <w:r>
        <w:rPr>
          <w:rFonts w:ascii="Calibri" w:hAnsi="Calibri"/>
          <w:i/>
          <w:sz w:val="24"/>
          <w:color w:val="2E5C8A"/>
        </w:rPr>
        <w:t xml:space="preserve">Evaluating ElegantLink: Client Governance Mobile Platform for Elegant Media Australia</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2800" w:type="dxa"/>
            <w:shd w:val="clear" w:color="auto" w:fill="1F3864"/>
          </w:tcPr>
          <w:p>
            <w:pPr>
              <w:spacing w:before="40" w:after="40" w:line="276" w:lineRule="auto"/>
            </w:pPr>
            <w:r>
              <w:rPr>
                <w:rFonts w:ascii="Calibri" w:hAnsi="Calibri"/>
                <w:b/>
                <w:sz w:val="20"/>
                <w:color w:val="FFFFFF"/>
              </w:rPr>
              <w:t xml:space="preserve">Metadata Attribute</w:t>
            </w:r>
          </w:p>
        </w:tc>
        <w:tc>
          <w:tcPr>
            <w:tcW w:w="6560" w:type="dxa"/>
            <w:shd w:val="clear" w:color="auto" w:fill="1F3864"/>
          </w:tcPr>
          <w:p>
            <w:pPr>
              <w:spacing w:before="40" w:after="40" w:line="276" w:lineRule="auto"/>
            </w:pPr>
            <w:r>
              <w:rPr>
                <w:rFonts w:ascii="Calibri" w:hAnsi="Calibri"/>
                <w:b/>
                <w:sz w:val="20"/>
                <w:color w:val="FFFFFF"/>
              </w:rPr>
              <w:t xml:space="preserve">Assessment &amp; Author Details</w:t>
            </w:r>
          </w:p>
        </w:tc>
      </w:tr>
      <w:tr>
        <w:tc>
          <w:tcPr>
            <w:tcW w:w="2800" w:type="dxa"/>
            <w:shd w:val="clear" w:color="auto" w:fill="FFFFFF"/>
          </w:tcPr>
          <w:p>
            <w:pPr>
              <w:spacing w:before="30" w:after="30" w:line="276" w:lineRule="auto"/>
            </w:pPr>
            <w:r>
              <w:rPr>
                <w:rFonts w:ascii="Calibri" w:hAnsi="Calibri"/>
                <w:b/>
                <w:sz w:val="20"/>
                <w:color w:val="0F172A"/>
              </w:rPr>
              <w:t xml:space="preserve">Student Author</w:t>
            </w:r>
          </w:p>
        </w:tc>
        <w:tc>
          <w:tcPr>
            <w:tcW w:w="6560" w:type="dxa"/>
            <w:shd w:val="clear" w:color="auto" w:fill="FFFFFF"/>
          </w:tcPr>
          <w:p>
            <w:pPr>
              <w:spacing w:before="30" w:after="30" w:line="276" w:lineRule="auto"/>
            </w:pPr>
            <w:r>
              <w:rPr>
                <w:rFonts w:ascii="Calibri" w:hAnsi="Calibri"/>
                <w:sz w:val="20"/>
                <w:color w:val="334155"/>
              </w:rPr>
              <w:t xml:space="preserve">Sadiq Salman (Student ID: 12284952)</w:t>
            </w:r>
          </w:p>
        </w:tc>
      </w:tr>
      <w:tr>
        <w:tc>
          <w:tcPr>
            <w:tcW w:w="2800" w:type="dxa"/>
            <w:shd w:val="clear" w:color="auto" w:fill="F8FAFC"/>
          </w:tcPr>
          <w:p>
            <w:pPr>
              <w:spacing w:before="30" w:after="30" w:line="276" w:lineRule="auto"/>
            </w:pPr>
            <w:r>
              <w:rPr>
                <w:rFonts w:ascii="Calibri" w:hAnsi="Calibri"/>
                <w:b/>
                <w:sz w:val="20"/>
                <w:color w:val="0F172A"/>
              </w:rPr>
              <w:t xml:space="preserve">Course &amp; Unit</w:t>
            </w:r>
          </w:p>
        </w:tc>
        <w:tc>
          <w:tcPr>
            <w:tcW w:w="6560" w:type="dxa"/>
            <w:shd w:val="clear" w:color="auto" w:fill="F8FAFC"/>
          </w:tcPr>
          <w:p>
            <w:pPr>
              <w:spacing w:before="30" w:after="30" w:line="276" w:lineRule="auto"/>
            </w:pPr>
            <w:r>
              <w:rPr>
                <w:rFonts w:ascii="Calibri" w:hAnsi="Calibri"/>
                <w:sz w:val="20"/>
                <w:color w:val="334155"/>
              </w:rPr>
              <w:t xml:space="preserve">COIT20270 App Development for Mobile Platforms (Term 1, 2026)</w:t>
            </w:r>
          </w:p>
        </w:tc>
      </w:tr>
      <w:tr>
        <w:tc>
          <w:tcPr>
            <w:tcW w:w="2800" w:type="dxa"/>
            <w:shd w:val="clear" w:color="auto" w:fill="FFFFFF"/>
          </w:tcPr>
          <w:p>
            <w:pPr>
              <w:spacing w:before="30" w:after="30" w:line="276" w:lineRule="auto"/>
            </w:pPr>
            <w:r>
              <w:rPr>
                <w:rFonts w:ascii="Calibri" w:hAnsi="Calibri"/>
                <w:b/>
                <w:sz w:val="20"/>
                <w:color w:val="0F172A"/>
              </w:rPr>
              <w:t xml:space="preserve">Target Organisation</w:t>
            </w:r>
          </w:p>
        </w:tc>
        <w:tc>
          <w:tcPr>
            <w:tcW w:w="6560" w:type="dxa"/>
            <w:shd w:val="clear" w:color="auto" w:fill="FFFFFF"/>
          </w:tcPr>
          <w:p>
            <w:pPr>
              <w:spacing w:before="30" w:after="30" w:line="276" w:lineRule="auto"/>
            </w:pPr>
            <w:r>
              <w:rPr>
                <w:rFonts w:ascii="Calibri" w:hAnsi="Calibri"/>
                <w:sz w:val="20"/>
                <w:color w:val="334155"/>
              </w:rPr>
              <w:t xml:space="preserve">Elegant Media Australia (Melbourne Head Office)</w:t>
            </w:r>
          </w:p>
        </w:tc>
      </w:tr>
      <w:tr>
        <w:tc>
          <w:tcPr>
            <w:tcW w:w="2800" w:type="dxa"/>
            <w:shd w:val="clear" w:color="auto" w:fill="F8FAFC"/>
          </w:tcPr>
          <w:p>
            <w:pPr>
              <w:spacing w:before="30" w:after="30" w:line="276" w:lineRule="auto"/>
            </w:pPr>
            <w:r>
              <w:rPr>
                <w:rFonts w:ascii="Calibri" w:hAnsi="Calibri"/>
                <w:b/>
                <w:sz w:val="20"/>
                <w:color w:val="0F172A"/>
              </w:rPr>
              <w:t xml:space="preserve">Unit Learning Outcomes</w:t>
            </w:r>
          </w:p>
        </w:tc>
        <w:tc>
          <w:tcPr>
            <w:tcW w:w="6560" w:type="dxa"/>
            <w:shd w:val="clear" w:color="auto" w:fill="F8FAFC"/>
          </w:tcPr>
          <w:p>
            <w:pPr>
              <w:spacing w:before="30" w:after="30" w:line="276" w:lineRule="auto"/>
            </w:pPr>
            <w:r>
              <w:rPr>
                <w:rFonts w:ascii="Calibri" w:hAnsi="Calibri"/>
                <w:sz w:val="20"/>
                <w:color w:val="334155"/>
              </w:rPr>
              <w:t xml:space="preserve">ULO 2 (System Interface Parts) &amp; ULO 4 (Business Impact &amp; Usability Evaluation)</w:t>
            </w:r>
          </w:p>
        </w:tc>
      </w:tr>
      <w:tr>
        <w:tc>
          <w:tcPr>
            <w:tcW w:w="2800" w:type="dxa"/>
            <w:shd w:val="clear" w:color="auto" w:fill="FFFFFF"/>
          </w:tcPr>
          <w:p>
            <w:pPr>
              <w:spacing w:before="30" w:after="30" w:line="276" w:lineRule="auto"/>
            </w:pPr>
            <w:r>
              <w:rPr>
                <w:rFonts w:ascii="Calibri" w:hAnsi="Calibri"/>
                <w:b/>
                <w:sz w:val="20"/>
                <w:color w:val="0F172A"/>
              </w:rPr>
              <w:t xml:space="preserve">Assessment Weight</w:t>
            </w:r>
          </w:p>
        </w:tc>
        <w:tc>
          <w:tcPr>
            <w:tcW w:w="6560" w:type="dxa"/>
            <w:shd w:val="clear" w:color="auto" w:fill="FFFFFF"/>
          </w:tcPr>
          <w:p>
            <w:pPr>
              <w:spacing w:before="30" w:after="30" w:line="276" w:lineRule="auto"/>
            </w:pPr>
            <w:r>
              <w:rPr>
                <w:rFonts w:ascii="Calibri" w:hAnsi="Calibri"/>
                <w:sz w:val="20"/>
                <w:color w:val="334155"/>
              </w:rPr>
              <w:t xml:space="preserve">20% (Week 9 Portfolio Submission)</w:t>
            </w:r>
          </w:p>
        </w:tc>
      </w:tr>
      <w:tr>
        <w:tc>
          <w:tcPr>
            <w:tcW w:w="2800" w:type="dxa"/>
            <w:shd w:val="clear" w:color="auto" w:fill="F8FAFC"/>
          </w:tcPr>
          <w:p>
            <w:pPr>
              <w:spacing w:before="30" w:after="30" w:line="276" w:lineRule="auto"/>
            </w:pPr>
            <w:r>
              <w:rPr>
                <w:rFonts w:ascii="Calibri" w:hAnsi="Calibri"/>
                <w:b/>
                <w:sz w:val="20"/>
                <w:color w:val="0F172A"/>
              </w:rPr>
              <w:t xml:space="preserve">Interactive Prototype</w:t>
            </w:r>
          </w:p>
        </w:tc>
        <w:tc>
          <w:tcPr>
            <w:tcW w:w="6560" w:type="dxa"/>
            <w:shd w:val="clear" w:color="auto" w:fill="F8FAFC"/>
          </w:tcPr>
          <w:p>
            <w:pPr>
              <w:spacing w:before="30" w:after="30" w:line="276" w:lineRule="auto"/>
            </w:pPr>
            <w:r>
              <w:rPr>
                <w:rFonts w:ascii="Calibri" w:hAnsi="Calibri"/>
                <w:sz w:val="20"/>
                <w:color w:val="334155"/>
              </w:rPr>
              <w:t xml:space="preserve">Single-file Flutter Material 3 code (3,151 lines) executing natively on dartpad.dev</w:t>
            </w:r>
          </w:p>
        </w:tc>
      </w:tr>
      <w:tr>
        <w:tc>
          <w:tcPr>
            <w:tcW w:w="2800" w:type="dxa"/>
            <w:shd w:val="clear" w:color="auto" w:fill="FFFFFF"/>
          </w:tcPr>
          <w:p>
            <w:pPr>
              <w:spacing w:before="30" w:after="30" w:line="276" w:lineRule="auto"/>
            </w:pPr>
            <w:r>
              <w:rPr>
                <w:rFonts w:ascii="Calibri" w:hAnsi="Calibri"/>
                <w:b/>
                <w:sz w:val="20"/>
                <w:color w:val="0F172A"/>
              </w:rPr>
              <w:t xml:space="preserve">Repository &amp; Deliverables</w:t>
            </w:r>
          </w:p>
        </w:tc>
        <w:tc>
          <w:tcPr>
            <w:tcW w:w="6560" w:type="dxa"/>
            <w:shd w:val="clear" w:color="auto" w:fill="FFFFFF"/>
          </w:tcPr>
          <w:p>
            <w:pPr>
              <w:spacing w:before="30" w:after="30" w:line="276" w:lineRule="auto"/>
            </w:pPr>
            <w:r>
              <w:rPr>
                <w:rFonts w:ascii="Calibri" w:hAnsi="Calibri"/>
                <w:sz w:val="20"/>
                <w:color w:val="334155"/>
              </w:rPr>
              <w:t xml:space="preserve">Private GitHub Repository + 19-Slide PowerPoint Deck + 3 Participant Video Recordings on CQU OneDrive</w:t>
            </w:r>
          </w:p>
        </w:tc>
      </w:tr>
      <w:tr>
        <w:tc>
          <w:tcPr>
            <w:tcW w:w="2800" w:type="dxa"/>
            <w:shd w:val="clear" w:color="auto" w:fill="F8FAFC"/>
          </w:tcPr>
          <w:p>
            <w:pPr>
              <w:spacing w:before="30" w:after="30" w:line="276" w:lineRule="auto"/>
            </w:pPr>
            <w:r>
              <w:rPr>
                <w:rFonts w:ascii="Calibri" w:hAnsi="Calibri"/>
                <w:b/>
                <w:sz w:val="20"/>
                <w:color w:val="0F172A"/>
              </w:rPr>
              <w:t xml:space="preserve">Complaints Contact</w:t>
            </w:r>
          </w:p>
        </w:tc>
        <w:tc>
          <w:tcPr>
            <w:tcW w:w="6560" w:type="dxa"/>
            <w:shd w:val="clear" w:color="auto" w:fill="F8FAFC"/>
          </w:tcPr>
          <w:p>
            <w:pPr>
              <w:spacing w:before="30" w:after="30" w:line="276" w:lineRule="auto"/>
            </w:pPr>
            <w:r>
              <w:rPr>
                <w:rFonts w:ascii="Calibri" w:hAnsi="Calibri"/>
                <w:sz w:val="20"/>
                <w:color w:val="334155"/>
              </w:rPr>
              <w:t xml:space="preserve">Jamie Shield (Unit Coordinator, CQUniversity Australia — j.shield@cqu.edu.au)</w:t>
            </w:r>
          </w:p>
        </w:tc>
      </w:tr>
    </w:tbl>
    <w:p>
      <w:pPr>
        <w:spacing w:before="140" w:after="140" w:line="276" w:lineRule="auto"/>
      </w:pPr>
    </w:p>
    <w:p>
      <w:pPr>
        <w:spacing w:before="280" w:after="120" w:line="276" w:lineRule="auto"/>
      </w:pPr>
      <w:r>
        <w:rPr>
          <w:rFonts w:ascii="Calibri" w:hAnsi="Calibri"/>
          <w:b/>
          <w:sz w:val="32"/>
          <w:color w:val="1F3864"/>
        </w:rPr>
        <w:t xml:space="preserve">1. Executive Summary &amp; Assessment Context</w:t>
      </w:r>
    </w:p>
    <w:p>
      <w:pPr>
        <w:spacing w:before="100" w:after="100" w:line="276" w:lineRule="auto"/>
      </w:pPr>
      <w:r>
        <w:rPr>
          <w:rFonts w:ascii="Calibri" w:hAnsi="Calibri"/>
          <w:sz w:val="22"/>
          <w:color w:val="1E293B"/>
        </w:rPr>
        <w:t xml:space="preserve">In Assignment 3, we transition from high-fidelity prototyping (Assignment 2) to empirical human-computer interaction (HCI) evaluation. ElegantLink is a dedicated mobile client governance platform engineered for Australian software development consultancy Elegant Media. The application addresses the post-deposit communication void, where non-technical commercial clients become overwhelmed by developer-centric Jira backlogs, technical Git commits, and fragmented email chains. Following the User-Centred Design (UCD) framework established in Assignment 1, this report documents the empirical evaluation of our working Flutter prototype against three (3) pre-defined usability engineering goals across three (3) diverse participants under formal CQUniversity human research informed consent.</w:t>
      </w:r>
    </w:p>
    <w:p>
      <w:pPr>
        <w:spacing w:before="100" w:after="100" w:line="276" w:lineRule="auto"/>
      </w:pPr>
      <w:r>
        <w:rPr>
          <w:rFonts w:ascii="Calibri" w:hAnsi="Calibri"/>
          <w:sz w:val="22"/>
          <w:color w:val="1E293B"/>
        </w:rPr>
        <w:t xml:space="preserve">Across nine (9) total moderated task trials, participants achieved an absolute 100% completion rate with zero task abandonments. All three usability goals comfortably exceeded their target safety margins: Usability Goal 6.1 (Learnability) was achieved in a mean time of 6.10 seconds (-39.0% faster than the 10-second target); Usability Goal 6.2 (Efficiency) was achieved in 34.70 seconds (-42.2% faster than the 60-second target); and Usability Goal 6.3 (Error Prevention) achieved an exact 0.0% accidental sign-off rate with 100% verbal awareness of commercial payment liability ($12,500 AUD). Crucially, this empirical evaluation revealed three recurring cognitive interaction friction points, which have been formulated into three actionable, design-pattern-level recommendations that establish our direct engineering blueprint for Assignment 4.</w:t>
      </w:r>
    </w:p>
    <w:tbl>
      <w:tblPr>
        <w:tblW w:w="9360" w:type="dxa"/>
        <w:tblBorders>
          <w:top w:val="none"/>
          <w:left w:val="single" w:sz="36" w:space="0" w:color="1F3864"/>
          <w:bottom w:val="none"/>
          <w:right w:val="none"/>
        </w:tblBorders>
        <w:tblCellMar>
          <w:top w:w="120" w:type="dxa"/>
          <w:left w:w="180" w:type="dxa"/>
          <w:bottom w:w="120" w:type="dxa"/>
          <w:right w:w="180" w:type="dxa"/>
        </w:tblCellMar>
      </w:tblPr>
      <w:tr>
        <w:tc>
          <w:tcPr>
            <w:tcW w:w="9360" w:type="dxa"/>
            <w:shd w:val="clear" w:color="auto" w:fill="F1F5F9"/>
          </w:tcPr>
          <w:p>
            <w:pPr>
              <w:spacing w:before="40" w:after="40" w:line="276" w:lineRule="auto"/>
            </w:pPr>
            <w:r>
              <w:rPr>
                <w:rFonts w:ascii="Calibri" w:hAnsi="Calibri"/>
                <w:b/>
                <w:sz w:val="20"/>
                <w:color w:val="1F3864"/>
              </w:rPr>
              <w:t xml:space="preserve">THE STRATEGIC HCI BRIDGE TO ASSIGNMENT 4</w:t>
            </w:r>
          </w:p>
          <w:p>
            <w:pPr>
              <w:spacing w:before="0" w:after="40" w:line="276" w:lineRule="auto"/>
            </w:pPr>
            <w:r>
              <w:rPr>
                <w:rFonts w:ascii="Calibri" w:hAnsi="Calibri"/>
                <w:i/>
                <w:sz w:val="21"/>
                <w:color w:val="334155"/>
              </w:rPr>
              <w:t xml:space="preserve">Direct Assignment 4 Bridge: The 3 design recommendations formulated in this report—Material 3 Container Transforms &amp; slowed transitions, direct manipulation gestures (swipe &amp; zoom), and an asynchronous simulated backend repository with local persistence—directly map to the core technical criteria mandated for Assignment 4.</w:t>
            </w:r>
          </w:p>
        </w:tc>
      </w:tr>
    </w:tbl>
    <w:p>
      <w:pPr>
        <w:spacing w:before="280" w:after="120" w:line="276" w:lineRule="auto"/>
      </w:pPr>
      <w:r>
        <w:rPr>
          <w:rFonts w:ascii="Calibri" w:hAnsi="Calibri"/>
          <w:b/>
          <w:sz w:val="32"/>
          <w:color w:val="1F3864"/>
        </w:rPr>
        <w:t xml:space="preserve">2. Target User Persona: Founder Fred (Fred R.)</w:t>
      </w:r>
    </w:p>
    <w:p>
      <w:pPr>
        <w:spacing w:before="100" w:after="100" w:line="276" w:lineRule="auto"/>
      </w:pPr>
      <w:r>
        <w:rPr>
          <w:rFonts w:ascii="Calibri" w:hAnsi="Calibri"/>
          <w:sz w:val="22"/>
          <w:color w:val="1E293B"/>
        </w:rPr>
        <w:t xml:space="preserve">Every task scenario and evaluation metric in this study is anchored in our primary persona, Founder Fred—standardized throughout our Flutter application as Fred R. Fred is a 42-year-old managing director of an expanding retail business in Melbourne who commissioned Elegant Media for a 50,000 AUD custom mobile ordering build. As a non-technical executive who relies on mobile devices during brief micro-breaks between warehouse inspections and client meetings, Fred operates under intense cognitive time pressure.</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Profile: </w:t>
      </w:r>
      <w:r>
        <w:rPr>
          <w:rFonts w:ascii="Calibri" w:hAnsi="Calibri"/>
          <w:sz w:val="22"/>
          <w:color w:val="334155"/>
        </w:rPr>
        <w:t xml:space="preserve">Demographic Profile: Age 42, Male, Managing Director; non-technical executive with intermediate smartphone fluency (CommBank, Xero, WhatsApp).</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Environment: </w:t>
      </w:r>
      <w:r>
        <w:rPr>
          <w:rFonts w:ascii="Calibri" w:hAnsi="Calibri"/>
          <w:sz w:val="22"/>
          <w:color w:val="334155"/>
        </w:rPr>
        <w:t xml:space="preserve">Hardware &amp; Environment: Mid-range Android smartphone and iPad tablet; high mobility, transit, warehouse sites, and bright outdoor sunlight.</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Cognitive Constraints: </w:t>
      </w:r>
      <w:r>
        <w:rPr>
          <w:rFonts w:ascii="Calibri" w:hAnsi="Calibri"/>
          <w:sz w:val="22"/>
          <w:color w:val="334155"/>
        </w:rPr>
        <w:t xml:space="preserve">Cognitive Load &amp; Technostress: Avoids lengthy help manuals; demands ambient status glanceability in &lt;=10 seconds. Wang &amp; Yu (2024, p. 3) prove that developer technostress severely damages mobile continuance intention.</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Commercial Anxiety: </w:t>
      </w:r>
      <w:r>
        <w:rPr>
          <w:rFonts w:ascii="Calibri" w:hAnsi="Calibri"/>
          <w:sz w:val="22"/>
          <w:color w:val="334155"/>
        </w:rPr>
        <w:t xml:space="preserve">Commercial Liability Anxiety: Severe apprehension regarding project drift and surprise contractor invoices; demands transparent confirmation before triggering $12,500 AUD financial commitments (Li et al., 2025).</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Ergonomic Needs: </w:t>
      </w:r>
      <w:r>
        <w:rPr>
          <w:rFonts w:ascii="Calibri" w:hAnsi="Calibri"/>
          <w:sz w:val="22"/>
          <w:color w:val="334155"/>
        </w:rPr>
        <w:t xml:space="preserve">Outdoor Visual Legibility: Requires high contrast (&gt;=4.5:1 WCAG AA) to counter glare. Punsongserm &amp; Suvakunta (2025, p. 21) demonstrate that mobile readability collapses under sunlight without high-contrast styling.</w:t>
      </w:r>
    </w:p>
    <w:p>
      <w:pPr>
        <w:spacing w:before="280" w:after="120" w:line="276" w:lineRule="auto"/>
      </w:pPr>
      <w:r>
        <w:rPr>
          <w:rFonts w:ascii="Calibri" w:hAnsi="Calibri"/>
          <w:b/>
          <w:sz w:val="32"/>
          <w:color w:val="1F3864"/>
        </w:rPr>
        <w:t xml:space="preserve">3. Traceability Across System Architectural Models</w:t>
      </w:r>
    </w:p>
    <w:p>
      <w:pPr>
        <w:spacing w:before="100" w:after="100" w:line="276" w:lineRule="auto"/>
      </w:pPr>
      <w:r>
        <w:rPr>
          <w:rFonts w:ascii="Calibri" w:hAnsi="Calibri"/>
          <w:sz w:val="22"/>
          <w:color w:val="1E293B"/>
        </w:rPr>
        <w:t xml:space="preserve">ElegantLink maintains strict end-to-end traceability linking the technology-agnostic system models from Assignment 1 directly into our prototype screens and empirical evaluation tasks:</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Activity Diagram 1: </w:t>
      </w:r>
      <w:r>
        <w:rPr>
          <w:rFonts w:ascii="Calibri" w:hAnsi="Calibri"/>
          <w:sz w:val="22"/>
          <w:color w:val="334155"/>
        </w:rPr>
        <w:t xml:space="preserve">Process 1.0 &amp; Activity Diagram 1 (View Project Status): Synthesises complex backlog tickets into an ambient traffic-light progress card and SDLC pipeline breakdown. Tested in Task 1 on DashboardScreen.</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Activity Diagram 2: </w:t>
      </w:r>
      <w:r>
        <w:rPr>
          <w:rFonts w:ascii="Calibri" w:hAnsi="Calibri"/>
          <w:sz w:val="22"/>
          <w:color w:val="334155"/>
        </w:rPr>
        <w:t xml:space="preserve">Process 3.0 &amp; Activity Diagram 2 (Review Artefact &amp; Submit Feedback): Anchors client feedback directly beneath visual wireframes, replacing fragmented email chains with structured quick-reply chips. Tested in Task 2 on MockupViewerScreen.</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Activity Diagram 3: </w:t>
      </w:r>
      <w:r>
        <w:rPr>
          <w:rFonts w:ascii="Calibri" w:hAnsi="Calibri"/>
          <w:sz w:val="22"/>
          <w:color w:val="334155"/>
        </w:rPr>
        <w:t xml:space="preserve">Process 5.0 &amp; Activity Diagram 3 (Approve Milestone or Request Changes): Operationalises a high-stakes commercial acceptance gate with an affirmative two-step confirmation dialog and digital audit certificate. Tested in Task 3 on MilestoneSummaryScreen.</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Privacy &amp; Ethics DFD: </w:t>
      </w:r>
      <w:r>
        <w:rPr>
          <w:rFonts w:ascii="Calibri" w:hAnsi="Calibri"/>
          <w:sz w:val="22"/>
          <w:color w:val="334155"/>
        </w:rPr>
        <w:t xml:space="preserve">Process 6.0 &amp; Privacy Architecture (Australian Privacy Principles DFD): Implements APPs 1, 3, 5, 6, and 11 via unbundled consent switches, local biometric security, and sovereign Australian data storage (AWS Sydney).</w:t>
      </w:r>
    </w:p>
    <w:p>
      <w:pPr>
        <w:spacing w:before="280" w:after="120" w:line="276" w:lineRule="auto"/>
      </w:pPr>
      <w:r>
        <w:rPr>
          <w:rFonts w:ascii="Calibri" w:hAnsi="Calibri"/>
          <w:b/>
          <w:sz w:val="32"/>
          <w:color w:val="1F3864"/>
        </w:rPr>
        <w:t xml:space="preserve">4. Ethical Research Framework &amp; Informed Consent Protocol</w:t>
      </w:r>
    </w:p>
    <w:p>
      <w:pPr>
        <w:spacing w:before="100" w:after="100" w:line="276" w:lineRule="auto"/>
      </w:pPr>
      <w:r>
        <w:rPr>
          <w:rFonts w:ascii="Calibri" w:hAnsi="Calibri"/>
          <w:sz w:val="22"/>
          <w:color w:val="1E293B"/>
        </w:rPr>
        <w:t xml:space="preserve">In strict compliance with CQUniversity Human Research Ethics Guidelines and the Australian Privacy Act 1988, all usability testing activities adhered to a rigorous informed consent framework. Three (3) participants were recruited, and both written and verbal consent protocols were executed prior to testing:</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CQU Right 1: </w:t>
      </w:r>
      <w:r>
        <w:rPr>
          <w:rFonts w:ascii="Calibri" w:hAnsi="Calibri"/>
          <w:sz w:val="22"/>
          <w:color w:val="334155"/>
        </w:rPr>
        <w:t xml:space="preserve">1. Voluntary Participation: Participation was completely voluntary; all participants were informed that choosing not to participate or withdrawing involved no penalty or loss of benefit.</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CQU Right 2: </w:t>
      </w:r>
      <w:r>
        <w:rPr>
          <w:rFonts w:ascii="Calibri" w:hAnsi="Calibri"/>
          <w:sz w:val="22"/>
          <w:color w:val="334155"/>
        </w:rPr>
        <w:t xml:space="preserve">2. Privacy &amp; Confidential Video Storage: Participants were anonymised as Participant 1 (P1), Participant 2 (P2), and Participant 3 (P3). Video recordings are stored exclusively within secure CQUniversity OneDrive cloud storage accessible solely to CQU marking staff and will never be published publicly.</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CQU Right 3: </w:t>
      </w:r>
      <w:r>
        <w:rPr>
          <w:rFonts w:ascii="Calibri" w:hAnsi="Calibri"/>
          <w:sz w:val="22"/>
          <w:color w:val="334155"/>
        </w:rPr>
        <w:t xml:space="preserve">3. Unconditional Right to Withdraw: Participants were explicitly advised of their right to discontinue participation at any time without reason, with all session data permanently deleted upon request.</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CQU Right 4: </w:t>
      </w:r>
      <w:r>
        <w:rPr>
          <w:rFonts w:ascii="Calibri" w:hAnsi="Calibri"/>
          <w:sz w:val="22"/>
          <w:color w:val="334155"/>
        </w:rPr>
        <w:t xml:space="preserve">4. Seeking Information: The investigator's full contact details were provided on the printed Participant Information Sheet.</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CQU Right 5: </w:t>
      </w:r>
      <w:r>
        <w:rPr>
          <w:rFonts w:ascii="Calibri" w:hAnsi="Calibri"/>
          <w:sz w:val="22"/>
          <w:color w:val="334155"/>
        </w:rPr>
        <w:t xml:space="preserve">5. Formal Complaints Procedure: Participants were informed of CQUniversity's independent complaints contact: Jamie Shield, Unit Coordinator, School of Engineering &amp; Technology (j.shield@cqu.edu.au).</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CQU Right 6: </w:t>
      </w:r>
      <w:r>
        <w:rPr>
          <w:rFonts w:ascii="Calibri" w:hAnsi="Calibri"/>
          <w:sz w:val="22"/>
          <w:color w:val="334155"/>
        </w:rPr>
        <w:t xml:space="preserve">6. Entitlement to Results: Participants were offered the right to receive a summary copy of the final usability findings and design recommendations.</w:t>
      </w:r>
    </w:p>
    <w:p>
      <w:pPr>
        <w:spacing w:before="280" w:after="120" w:line="276" w:lineRule="auto"/>
      </w:pPr>
      <w:r>
        <w:rPr>
          <w:rFonts w:ascii="Calibri" w:hAnsi="Calibri"/>
          <w:b/>
          <w:sz w:val="32"/>
          <w:color w:val="1F3864"/>
        </w:rPr>
        <w:t xml:space="preserve">5. Usability Goals &amp; Associated Task Testing Protocols</w:t>
      </w:r>
    </w:p>
    <w:p>
      <w:pPr>
        <w:spacing w:before="100" w:after="100" w:line="276" w:lineRule="auto"/>
      </w:pPr>
      <w:r>
        <w:rPr>
          <w:rFonts w:ascii="Calibri" w:hAnsi="Calibri"/>
          <w:sz w:val="22"/>
          <w:color w:val="1E293B"/>
        </w:rPr>
        <w:t xml:space="preserve">We evaluated three (3) primary usability goals established in Section 6 of our Assignment 1 planning specification across all three participants:</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1600" w:type="dxa"/>
            <w:shd w:val="clear" w:color="auto" w:fill="1F3864"/>
          </w:tcPr>
          <w:p>
            <w:pPr>
              <w:spacing w:before="40" w:after="40" w:line="276" w:lineRule="auto"/>
            </w:pPr>
            <w:r>
              <w:rPr>
                <w:rFonts w:ascii="Calibri" w:hAnsi="Calibri"/>
                <w:b/>
                <w:sz w:val="20"/>
                <w:color w:val="FFFFFF"/>
              </w:rPr>
              <w:t xml:space="preserve">Usability Goal &amp; Code</w:t>
            </w:r>
          </w:p>
        </w:tc>
        <w:tc>
          <w:tcPr>
            <w:tcW w:w="1800" w:type="dxa"/>
            <w:shd w:val="clear" w:color="auto" w:fill="1F3864"/>
          </w:tcPr>
          <w:p>
            <w:pPr>
              <w:spacing w:before="40" w:after="40" w:line="276" w:lineRule="auto"/>
            </w:pPr>
            <w:r>
              <w:rPr>
                <w:rFonts w:ascii="Calibri" w:hAnsi="Calibri"/>
                <w:b/>
                <w:sz w:val="20"/>
                <w:color w:val="FFFFFF"/>
              </w:rPr>
              <w:t xml:space="preserve">Assignment 1 Benchmark Target</w:t>
            </w:r>
          </w:p>
        </w:tc>
        <w:tc>
          <w:tcPr>
            <w:tcW w:w="2400" w:type="dxa"/>
            <w:shd w:val="clear" w:color="auto" w:fill="1F3864"/>
          </w:tcPr>
          <w:p>
            <w:pPr>
              <w:spacing w:before="40" w:after="40" w:line="276" w:lineRule="auto"/>
            </w:pPr>
            <w:r>
              <w:rPr>
                <w:rFonts w:ascii="Calibri" w:hAnsi="Calibri"/>
                <w:b/>
                <w:sz w:val="20"/>
                <w:color w:val="FFFFFF"/>
              </w:rPr>
              <w:t xml:space="preserve">Associated Task Scenario</w:t>
            </w:r>
          </w:p>
        </w:tc>
        <w:tc>
          <w:tcPr>
            <w:tcW w:w="1600" w:type="dxa"/>
            <w:shd w:val="clear" w:color="auto" w:fill="1F3864"/>
          </w:tcPr>
          <w:p>
            <w:pPr>
              <w:spacing w:before="40" w:after="40" w:line="276" w:lineRule="auto"/>
            </w:pPr>
            <w:r>
              <w:rPr>
                <w:rFonts w:ascii="Calibri" w:hAnsi="Calibri"/>
                <w:b/>
                <w:sz w:val="20"/>
                <w:color w:val="FFFFFF"/>
              </w:rPr>
              <w:t xml:space="preserve">Tested Prototype Screen</w:t>
            </w:r>
          </w:p>
        </w:tc>
        <w:tc>
          <w:tcPr>
            <w:tcW w:w="1960" w:type="dxa"/>
            <w:shd w:val="clear" w:color="auto" w:fill="1F3864"/>
          </w:tcPr>
          <w:p>
            <w:pPr>
              <w:spacing w:before="40" w:after="40" w:line="276" w:lineRule="auto"/>
            </w:pPr>
            <w:r>
              <w:rPr>
                <w:rFonts w:ascii="Calibri" w:hAnsi="Calibri"/>
                <w:b/>
                <w:sz w:val="20"/>
                <w:color w:val="FFFFFF"/>
              </w:rPr>
              <w:t xml:space="preserve">Observed Metric</w:t>
            </w:r>
          </w:p>
        </w:tc>
      </w:tr>
      <w:tr>
        <w:tc>
          <w:tcPr>
            <w:tcW w:w="1600" w:type="dxa"/>
            <w:shd w:val="clear" w:color="auto" w:fill="FFFFFF"/>
          </w:tcPr>
          <w:p>
            <w:pPr>
              <w:spacing w:before="30" w:after="30" w:line="276" w:lineRule="auto"/>
            </w:pPr>
            <w:r>
              <w:rPr>
                <w:rFonts w:ascii="Calibri" w:hAnsi="Calibri"/>
                <w:b/>
                <w:sz w:val="20"/>
                <w:color w:val="0F172A"/>
              </w:rPr>
              <w:t xml:space="preserve">Goal 6.1: Learnability</w:t>
            </w:r>
          </w:p>
        </w:tc>
        <w:tc>
          <w:tcPr>
            <w:tcW w:w="1800" w:type="dxa"/>
            <w:shd w:val="clear" w:color="auto" w:fill="FFFFFF"/>
          </w:tcPr>
          <w:p>
            <w:pPr>
              <w:spacing w:before="30" w:after="30" w:line="276" w:lineRule="auto"/>
            </w:pPr>
            <w:r>
              <w:rPr>
                <w:rFonts w:ascii="Calibri" w:hAnsi="Calibri"/>
                <w:sz w:val="20"/>
                <w:color w:val="334155"/>
              </w:rPr>
              <w:t xml:space="preserve">Identify active stage &amp; health in &lt;= 10.0s; &gt;=90% verbal accuracy</w:t>
            </w:r>
          </w:p>
        </w:tc>
        <w:tc>
          <w:tcPr>
            <w:tcW w:w="2400" w:type="dxa"/>
            <w:shd w:val="clear" w:color="auto" w:fill="FFFFFF"/>
          </w:tcPr>
          <w:p>
            <w:pPr>
              <w:spacing w:before="30" w:after="30" w:line="276" w:lineRule="auto"/>
            </w:pPr>
            <w:r>
              <w:rPr>
                <w:rFonts w:ascii="Calibri" w:hAnsi="Calibri"/>
                <w:sz w:val="20"/>
                <w:color w:val="334155"/>
              </w:rPr>
              <w:t xml:space="preserve">Task 1: Cold launch portal, enter executive login, and identify current SDLC stage and health status.</w:t>
            </w:r>
          </w:p>
        </w:tc>
        <w:tc>
          <w:tcPr>
            <w:tcW w:w="1600" w:type="dxa"/>
            <w:shd w:val="clear" w:color="auto" w:fill="FFFFFF"/>
          </w:tcPr>
          <w:p>
            <w:pPr>
              <w:spacing w:before="30" w:after="30" w:line="276" w:lineRule="auto"/>
            </w:pPr>
            <w:r>
              <w:rPr>
                <w:rFonts w:ascii="Calibri" w:hAnsi="Calibri"/>
                <w:sz w:val="20"/>
                <w:color w:val="334155"/>
              </w:rPr>
              <w:t xml:space="preserve">Screen 2 (DashboardScreen) via AD1</w:t>
            </w:r>
          </w:p>
        </w:tc>
        <w:tc>
          <w:tcPr>
            <w:tcW w:w="1960" w:type="dxa"/>
            <w:shd w:val="clear" w:color="auto" w:fill="FFFFFF"/>
          </w:tcPr>
          <w:p>
            <w:pPr>
              <w:spacing w:before="30" w:after="30" w:line="276" w:lineRule="auto"/>
            </w:pPr>
            <w:r>
              <w:rPr>
                <w:rFonts w:ascii="Calibri" w:hAnsi="Calibri"/>
                <w:sz w:val="20"/>
                <w:color w:val="334155"/>
              </w:rPr>
              <w:t xml:space="preserve">Stopwatch elapsed time from dashboard render to correct verbal response; hesitation count.</w:t>
            </w:r>
          </w:p>
        </w:tc>
      </w:tr>
      <w:tr>
        <w:tc>
          <w:tcPr>
            <w:tcW w:w="1600" w:type="dxa"/>
            <w:shd w:val="clear" w:color="auto" w:fill="F8FAFC"/>
          </w:tcPr>
          <w:p>
            <w:pPr>
              <w:spacing w:before="30" w:after="30" w:line="276" w:lineRule="auto"/>
            </w:pPr>
            <w:r>
              <w:rPr>
                <w:rFonts w:ascii="Calibri" w:hAnsi="Calibri"/>
                <w:b/>
                <w:sz w:val="20"/>
                <w:color w:val="0F172A"/>
              </w:rPr>
              <w:t xml:space="preserve">Goal 6.2: Efficiency</w:t>
            </w:r>
          </w:p>
        </w:tc>
        <w:tc>
          <w:tcPr>
            <w:tcW w:w="1800" w:type="dxa"/>
            <w:shd w:val="clear" w:color="auto" w:fill="F8FAFC"/>
          </w:tcPr>
          <w:p>
            <w:pPr>
              <w:spacing w:before="30" w:after="30" w:line="276" w:lineRule="auto"/>
            </w:pPr>
            <w:r>
              <w:rPr>
                <w:rFonts w:ascii="Calibri" w:hAnsi="Calibri"/>
                <w:sz w:val="20"/>
                <w:color w:val="334155"/>
              </w:rPr>
              <w:t xml:space="preserve">Contextual feedback submitted in &lt;= 60.0s (&gt;=40% faster than email)</w:t>
            </w:r>
          </w:p>
        </w:tc>
        <w:tc>
          <w:tcPr>
            <w:tcW w:w="2400" w:type="dxa"/>
            <w:shd w:val="clear" w:color="auto" w:fill="F8FAFC"/>
          </w:tcPr>
          <w:p>
            <w:pPr>
              <w:spacing w:before="30" w:after="30" w:line="276" w:lineRule="auto"/>
            </w:pPr>
            <w:r>
              <w:rPr>
                <w:rFonts w:ascii="Calibri" w:hAnsi="Calibri"/>
                <w:sz w:val="20"/>
                <w:color w:val="334155"/>
              </w:rPr>
              <w:t xml:space="preserve">Task 2: Navigate to Deliverables Gallery, open Cart Wireframe, review agency comment, and post contextual feedback.</w:t>
            </w:r>
          </w:p>
        </w:tc>
        <w:tc>
          <w:tcPr>
            <w:tcW w:w="1600" w:type="dxa"/>
            <w:shd w:val="clear" w:color="auto" w:fill="F8FAFC"/>
          </w:tcPr>
          <w:p>
            <w:pPr>
              <w:spacing w:before="30" w:after="30" w:line="276" w:lineRule="auto"/>
            </w:pPr>
            <w:r>
              <w:rPr>
                <w:rFonts w:ascii="Calibri" w:hAnsi="Calibri"/>
                <w:sz w:val="20"/>
                <w:color w:val="334155"/>
              </w:rPr>
              <w:t xml:space="preserve">Screen 6 (MockupViewerScreen) via AD2</w:t>
            </w:r>
          </w:p>
        </w:tc>
        <w:tc>
          <w:tcPr>
            <w:tcW w:w="1960" w:type="dxa"/>
            <w:shd w:val="clear" w:color="auto" w:fill="F8FAFC"/>
          </w:tcPr>
          <w:p>
            <w:pPr>
              <w:spacing w:before="30" w:after="30" w:line="276" w:lineRule="auto"/>
            </w:pPr>
            <w:r>
              <w:rPr>
                <w:rFonts w:ascii="Calibri" w:hAnsi="Calibri"/>
                <w:sz w:val="20"/>
                <w:color w:val="334155"/>
              </w:rPr>
              <w:t xml:space="preserve">Stopwatch elapsed time from artefact tap to comment appearance in live audit stream; tap count.</w:t>
            </w:r>
          </w:p>
        </w:tc>
      </w:tr>
      <w:tr>
        <w:tc>
          <w:tcPr>
            <w:tcW w:w="1600" w:type="dxa"/>
            <w:shd w:val="clear" w:color="auto" w:fill="FFFFFF"/>
          </w:tcPr>
          <w:p>
            <w:pPr>
              <w:spacing w:before="30" w:after="30" w:line="276" w:lineRule="auto"/>
            </w:pPr>
            <w:r>
              <w:rPr>
                <w:rFonts w:ascii="Calibri" w:hAnsi="Calibri"/>
                <w:b/>
                <w:sz w:val="20"/>
                <w:color w:val="0F172A"/>
              </w:rPr>
              <w:t xml:space="preserve">Goal 6.3: Error Prevention</w:t>
            </w:r>
          </w:p>
        </w:tc>
        <w:tc>
          <w:tcPr>
            <w:tcW w:w="1800" w:type="dxa"/>
            <w:shd w:val="clear" w:color="auto" w:fill="FFFFFF"/>
          </w:tcPr>
          <w:p>
            <w:pPr>
              <w:spacing w:before="30" w:after="30" w:line="276" w:lineRule="auto"/>
            </w:pPr>
            <w:r>
              <w:rPr>
                <w:rFonts w:ascii="Calibri" w:hAnsi="Calibri"/>
                <w:sz w:val="20"/>
                <w:color w:val="334155"/>
              </w:rPr>
              <w:t xml:space="preserve">Exact 0.0% accidental sign-offs; 100% awareness of $12,500 AUD liability</w:t>
            </w:r>
          </w:p>
        </w:tc>
        <w:tc>
          <w:tcPr>
            <w:tcW w:w="2400" w:type="dxa"/>
            <w:shd w:val="clear" w:color="auto" w:fill="FFFFFF"/>
          </w:tcPr>
          <w:p>
            <w:pPr>
              <w:spacing w:before="30" w:after="30" w:line="276" w:lineRule="auto"/>
            </w:pPr>
            <w:r>
              <w:rPr>
                <w:rFonts w:ascii="Calibri" w:hAnsi="Calibri"/>
                <w:sz w:val="20"/>
                <w:color w:val="334155"/>
              </w:rPr>
              <w:t xml:space="preserve">Task 3: Navigate to Milestone 2 Governance, verify acceptance criteria, inspect liability, and execute sign-off.</w:t>
            </w:r>
          </w:p>
        </w:tc>
        <w:tc>
          <w:tcPr>
            <w:tcW w:w="1600" w:type="dxa"/>
            <w:shd w:val="clear" w:color="auto" w:fill="FFFFFF"/>
          </w:tcPr>
          <w:p>
            <w:pPr>
              <w:spacing w:before="30" w:after="30" w:line="276" w:lineRule="auto"/>
            </w:pPr>
            <w:r>
              <w:rPr>
                <w:rFonts w:ascii="Calibri" w:hAnsi="Calibri"/>
                <w:sz w:val="20"/>
                <w:color w:val="334155"/>
              </w:rPr>
              <w:t xml:space="preserve">Screen 7 (MilestoneSummaryScreen) via AD3</w:t>
            </w:r>
          </w:p>
        </w:tc>
        <w:tc>
          <w:tcPr>
            <w:tcW w:w="1960" w:type="dxa"/>
            <w:shd w:val="clear" w:color="auto" w:fill="FFFFFF"/>
          </w:tcPr>
          <w:p>
            <w:pPr>
              <w:spacing w:before="30" w:after="30" w:line="276" w:lineRule="auto"/>
            </w:pPr>
            <w:r>
              <w:rPr>
                <w:rFonts w:ascii="Calibri" w:hAnsi="Calibri"/>
                <w:sz w:val="20"/>
                <w:color w:val="334155"/>
              </w:rPr>
              <w:t xml:space="preserve">Slip count; cancellation rate in modal dialog; verbal acknowledgment of $12,500 AUD liability.</w:t>
            </w:r>
          </w:p>
        </w:tc>
      </w:tr>
    </w:tbl>
    <w:p>
      <w:pPr>
        <w:spacing w:before="100" w:after="100" w:line="276" w:lineRule="auto"/>
      </w:pPr>
    </w:p>
    <w:p>
      <w:pPr>
        <w:spacing w:before="280" w:after="120" w:line="276" w:lineRule="auto"/>
      </w:pPr>
      <w:r>
        <w:rPr>
          <w:rFonts w:ascii="Calibri" w:hAnsi="Calibri"/>
          <w:b/>
          <w:sz w:val="32"/>
          <w:color w:val="1F3864"/>
        </w:rPr>
        <w:t xml:space="preserve">6. Participant Recruitment Demographics</w:t>
      </w:r>
    </w:p>
    <w:p>
      <w:pPr>
        <w:spacing w:before="100" w:after="100" w:line="276" w:lineRule="auto"/>
      </w:pPr>
      <w:r>
        <w:rPr>
          <w:rFonts w:ascii="Calibri" w:hAnsi="Calibri"/>
          <w:sz w:val="22"/>
          <w:color w:val="1E293B"/>
        </w:rPr>
        <w:t xml:space="preserve">To ensure empirical validity, participants were recruited across three distinct user categories:</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1500" w:type="dxa"/>
            <w:shd w:val="clear" w:color="auto" w:fill="1F3864"/>
          </w:tcPr>
          <w:p>
            <w:pPr>
              <w:spacing w:before="40" w:after="40" w:line="276" w:lineRule="auto"/>
            </w:pPr>
            <w:r>
              <w:rPr>
                <w:rFonts w:ascii="Calibri" w:hAnsi="Calibri"/>
                <w:b/>
                <w:sz w:val="20"/>
                <w:color w:val="FFFFFF"/>
              </w:rPr>
              <w:t xml:space="preserve">Participant ID</w:t>
            </w:r>
          </w:p>
        </w:tc>
        <w:tc>
          <w:tcPr>
            <w:tcW w:w="2100" w:type="dxa"/>
            <w:shd w:val="clear" w:color="auto" w:fill="1F3864"/>
          </w:tcPr>
          <w:p>
            <w:pPr>
              <w:spacing w:before="40" w:after="40" w:line="276" w:lineRule="auto"/>
            </w:pPr>
            <w:r>
              <w:rPr>
                <w:rFonts w:ascii="Calibri" w:hAnsi="Calibri"/>
                <w:b/>
                <w:sz w:val="20"/>
                <w:color w:val="FFFFFF"/>
              </w:rPr>
              <w:t xml:space="preserve">Demographic Profile</w:t>
            </w:r>
          </w:p>
        </w:tc>
        <w:tc>
          <w:tcPr>
            <w:tcW w:w="1900" w:type="dxa"/>
            <w:shd w:val="clear" w:color="auto" w:fill="1F3864"/>
          </w:tcPr>
          <w:p>
            <w:pPr>
              <w:spacing w:before="40" w:after="40" w:line="276" w:lineRule="auto"/>
            </w:pPr>
            <w:r>
              <w:rPr>
                <w:rFonts w:ascii="Calibri" w:hAnsi="Calibri"/>
                <w:b/>
                <w:sz w:val="20"/>
                <w:color w:val="FFFFFF"/>
              </w:rPr>
              <w:t xml:space="preserve">Persona &amp; Target Match</w:t>
            </w:r>
          </w:p>
        </w:tc>
        <w:tc>
          <w:tcPr>
            <w:tcW w:w="1900" w:type="dxa"/>
            <w:shd w:val="clear" w:color="auto" w:fill="1F3864"/>
          </w:tcPr>
          <w:p>
            <w:pPr>
              <w:spacing w:before="40" w:after="40" w:line="276" w:lineRule="auto"/>
            </w:pPr>
            <w:r>
              <w:rPr>
                <w:rFonts w:ascii="Calibri" w:hAnsi="Calibri"/>
                <w:b/>
                <w:sz w:val="20"/>
                <w:color w:val="FFFFFF"/>
              </w:rPr>
              <w:t xml:space="preserve">Device &amp; Viewport</w:t>
            </w:r>
          </w:p>
        </w:tc>
        <w:tc>
          <w:tcPr>
            <w:tcW w:w="1960" w:type="dxa"/>
            <w:shd w:val="clear" w:color="auto" w:fill="1F3864"/>
          </w:tcPr>
          <w:p>
            <w:pPr>
              <w:spacing w:before="40" w:after="40" w:line="276" w:lineRule="auto"/>
            </w:pPr>
            <w:r>
              <w:rPr>
                <w:rFonts w:ascii="Calibri" w:hAnsi="Calibri"/>
                <w:b/>
                <w:sz w:val="20"/>
                <w:color w:val="FFFFFF"/>
              </w:rPr>
              <w:t xml:space="preserve">Evaluation Focus</w:t>
            </w:r>
          </w:p>
        </w:tc>
      </w:tr>
      <w:tr>
        <w:tc>
          <w:tcPr>
            <w:tcW w:w="1500" w:type="dxa"/>
            <w:shd w:val="clear" w:color="auto" w:fill="FFFFFF"/>
          </w:tcPr>
          <w:p>
            <w:pPr>
              <w:spacing w:before="30" w:after="30" w:line="276" w:lineRule="auto"/>
            </w:pPr>
            <w:r>
              <w:rPr>
                <w:rFonts w:ascii="Calibri" w:hAnsi="Calibri"/>
                <w:b/>
                <w:sz w:val="20"/>
                <w:color w:val="0F172A"/>
              </w:rPr>
              <w:t xml:space="preserve">Participant 1 (P1)</w:t>
            </w:r>
          </w:p>
        </w:tc>
        <w:tc>
          <w:tcPr>
            <w:tcW w:w="2100" w:type="dxa"/>
            <w:shd w:val="clear" w:color="auto" w:fill="FFFFFF"/>
          </w:tcPr>
          <w:p>
            <w:pPr>
              <w:spacing w:before="30" w:after="30" w:line="276" w:lineRule="auto"/>
            </w:pPr>
            <w:r>
              <w:rPr>
                <w:rFonts w:ascii="Calibri" w:hAnsi="Calibri"/>
                <w:sz w:val="20"/>
                <w:color w:val="334155"/>
              </w:rPr>
              <w:t xml:space="preserve">Male, Age 44, Retail Managing Director</w:t>
            </w:r>
          </w:p>
        </w:tc>
        <w:tc>
          <w:tcPr>
            <w:tcW w:w="1900" w:type="dxa"/>
            <w:shd w:val="clear" w:color="auto" w:fill="FFFFFF"/>
          </w:tcPr>
          <w:p>
            <w:pPr>
              <w:spacing w:before="30" w:after="30" w:line="276" w:lineRule="auto"/>
            </w:pPr>
            <w:r>
              <w:rPr>
                <w:rFonts w:ascii="Calibri" w:hAnsi="Calibri"/>
                <w:sz w:val="20"/>
                <w:color w:val="334155"/>
              </w:rPr>
              <w:t xml:space="preserve">Primary Persona Match ('Founder Fred')</w:t>
            </w:r>
          </w:p>
        </w:tc>
        <w:tc>
          <w:tcPr>
            <w:tcW w:w="1900" w:type="dxa"/>
            <w:shd w:val="clear" w:color="auto" w:fill="FFFFFF"/>
          </w:tcPr>
          <w:p>
            <w:pPr>
              <w:spacing w:before="30" w:after="30" w:line="276" w:lineRule="auto"/>
            </w:pPr>
            <w:r>
              <w:rPr>
                <w:rFonts w:ascii="Calibri" w:hAnsi="Calibri"/>
                <w:sz w:val="20"/>
                <w:color w:val="334155"/>
              </w:rPr>
              <w:t xml:space="preserve">Mobile Touch (412x915dp, Touchscreen)</w:t>
            </w:r>
          </w:p>
        </w:tc>
        <w:tc>
          <w:tcPr>
            <w:tcW w:w="1960" w:type="dxa"/>
            <w:shd w:val="clear" w:color="auto" w:fill="FFFFFF"/>
          </w:tcPr>
          <w:p>
            <w:pPr>
              <w:spacing w:before="30" w:after="30" w:line="276" w:lineRule="auto"/>
            </w:pPr>
            <w:r>
              <w:rPr>
                <w:rFonts w:ascii="Calibri" w:hAnsi="Calibri"/>
                <w:sz w:val="20"/>
                <w:color w:val="334155"/>
              </w:rPr>
              <w:t xml:space="preserve">Executive glanceability, technostress mitigation, and commercial clarity.</w:t>
            </w:r>
          </w:p>
        </w:tc>
      </w:tr>
      <w:tr>
        <w:tc>
          <w:tcPr>
            <w:tcW w:w="1500" w:type="dxa"/>
            <w:shd w:val="clear" w:color="auto" w:fill="F8FAFC"/>
          </w:tcPr>
          <w:p>
            <w:pPr>
              <w:spacing w:before="30" w:after="30" w:line="276" w:lineRule="auto"/>
            </w:pPr>
            <w:r>
              <w:rPr>
                <w:rFonts w:ascii="Calibri" w:hAnsi="Calibri"/>
                <w:b/>
                <w:sz w:val="20"/>
                <w:color w:val="0F172A"/>
              </w:rPr>
              <w:t xml:space="preserve">Participant 2 (P2)</w:t>
            </w:r>
          </w:p>
        </w:tc>
        <w:tc>
          <w:tcPr>
            <w:tcW w:w="2100" w:type="dxa"/>
            <w:shd w:val="clear" w:color="auto" w:fill="F8FAFC"/>
          </w:tcPr>
          <w:p>
            <w:pPr>
              <w:spacing w:before="30" w:after="30" w:line="276" w:lineRule="auto"/>
            </w:pPr>
            <w:r>
              <w:rPr>
                <w:rFonts w:ascii="Calibri" w:hAnsi="Calibri"/>
                <w:sz w:val="20"/>
                <w:color w:val="334155"/>
              </w:rPr>
              <w:t xml:space="preserve">Female, Age 38, Logistics Operations Coordinator</w:t>
            </w:r>
          </w:p>
        </w:tc>
        <w:tc>
          <w:tcPr>
            <w:tcW w:w="1900" w:type="dxa"/>
            <w:shd w:val="clear" w:color="auto" w:fill="F8FAFC"/>
          </w:tcPr>
          <w:p>
            <w:pPr>
              <w:spacing w:before="30" w:after="30" w:line="276" w:lineRule="auto"/>
            </w:pPr>
            <w:r>
              <w:rPr>
                <w:rFonts w:ascii="Calibri" w:hAnsi="Calibri"/>
                <w:sz w:val="20"/>
                <w:color w:val="334155"/>
              </w:rPr>
              <w:t xml:space="preserve">Novice Client Match (Non-Technical)</w:t>
            </w:r>
          </w:p>
        </w:tc>
        <w:tc>
          <w:tcPr>
            <w:tcW w:w="1900" w:type="dxa"/>
            <w:shd w:val="clear" w:color="auto" w:fill="F8FAFC"/>
          </w:tcPr>
          <w:p>
            <w:pPr>
              <w:spacing w:before="30" w:after="30" w:line="276" w:lineRule="auto"/>
            </w:pPr>
            <w:r>
              <w:rPr>
                <w:rFonts w:ascii="Calibri" w:hAnsi="Calibri"/>
                <w:sz w:val="20"/>
                <w:color w:val="334155"/>
              </w:rPr>
              <w:t xml:space="preserve">Mobile Smartphone (390x844dp, Smartphone)</w:t>
            </w:r>
          </w:p>
        </w:tc>
        <w:tc>
          <w:tcPr>
            <w:tcW w:w="1960" w:type="dxa"/>
            <w:shd w:val="clear" w:color="auto" w:fill="F8FAFC"/>
          </w:tcPr>
          <w:p>
            <w:pPr>
              <w:spacing w:before="30" w:after="30" w:line="276" w:lineRule="auto"/>
            </w:pPr>
            <w:r>
              <w:rPr>
                <w:rFonts w:ascii="Calibri" w:hAnsi="Calibri"/>
                <w:sz w:val="20"/>
                <w:color w:val="334155"/>
              </w:rPr>
              <w:t xml:space="preserve">Intuitive learnability, slip resistance, and cognitive typing friction.</w:t>
            </w:r>
          </w:p>
        </w:tc>
      </w:tr>
      <w:tr>
        <w:tc>
          <w:tcPr>
            <w:tcW w:w="1500" w:type="dxa"/>
            <w:shd w:val="clear" w:color="auto" w:fill="FFFFFF"/>
          </w:tcPr>
          <w:p>
            <w:pPr>
              <w:spacing w:before="30" w:after="30" w:line="276" w:lineRule="auto"/>
            </w:pPr>
            <w:r>
              <w:rPr>
                <w:rFonts w:ascii="Calibri" w:hAnsi="Calibri"/>
                <w:b/>
                <w:sz w:val="20"/>
                <w:color w:val="0F172A"/>
              </w:rPr>
              <w:t xml:space="preserve">Participant 3 (P3)</w:t>
            </w:r>
          </w:p>
        </w:tc>
        <w:tc>
          <w:tcPr>
            <w:tcW w:w="2100" w:type="dxa"/>
            <w:shd w:val="clear" w:color="auto" w:fill="FFFFFF"/>
          </w:tcPr>
          <w:p>
            <w:pPr>
              <w:spacing w:before="30" w:after="30" w:line="276" w:lineRule="auto"/>
            </w:pPr>
            <w:r>
              <w:rPr>
                <w:rFonts w:ascii="Calibri" w:hAnsi="Calibri"/>
                <w:sz w:val="20"/>
                <w:color w:val="334155"/>
              </w:rPr>
              <w:t xml:space="preserve">Male, Age 23, Final-Year Computing Student</w:t>
            </w:r>
          </w:p>
        </w:tc>
        <w:tc>
          <w:tcPr>
            <w:tcW w:w="1900" w:type="dxa"/>
            <w:shd w:val="clear" w:color="auto" w:fill="FFFFFF"/>
          </w:tcPr>
          <w:p>
            <w:pPr>
              <w:spacing w:before="30" w:after="30" w:line="276" w:lineRule="auto"/>
            </w:pPr>
            <w:r>
              <w:rPr>
                <w:rFonts w:ascii="Calibri" w:hAnsi="Calibri"/>
                <w:sz w:val="20"/>
                <w:color w:val="334155"/>
              </w:rPr>
              <w:t xml:space="preserve">Peer / Technical Reviewer Match</w:t>
            </w:r>
          </w:p>
        </w:tc>
        <w:tc>
          <w:tcPr>
            <w:tcW w:w="1900" w:type="dxa"/>
            <w:shd w:val="clear" w:color="auto" w:fill="FFFFFF"/>
          </w:tcPr>
          <w:p>
            <w:pPr>
              <w:spacing w:before="30" w:after="30" w:line="276" w:lineRule="auto"/>
            </w:pPr>
            <w:r>
              <w:rPr>
                <w:rFonts w:ascii="Calibri" w:hAnsi="Calibri"/>
                <w:sz w:val="20"/>
                <w:color w:val="334155"/>
              </w:rPr>
              <w:t xml:space="preserve">Tablet/Desktop Viewport (1024x768dp, Browser)</w:t>
            </w:r>
          </w:p>
        </w:tc>
        <w:tc>
          <w:tcPr>
            <w:tcW w:w="1960" w:type="dxa"/>
            <w:shd w:val="clear" w:color="auto" w:fill="FFFFFF"/>
          </w:tcPr>
          <w:p>
            <w:pPr>
              <w:spacing w:before="30" w:after="30" w:line="276" w:lineRule="auto"/>
            </w:pPr>
            <w:r>
              <w:rPr>
                <w:rFonts w:ascii="Calibri" w:hAnsi="Calibri"/>
                <w:sz w:val="20"/>
                <w:color w:val="334155"/>
              </w:rPr>
              <w:t xml:space="preserve">Responsive navigation rail reflow, edge cases, and code reactivity.</w:t>
            </w:r>
          </w:p>
        </w:tc>
      </w:tr>
    </w:tbl>
    <w:p>
      <w:pPr>
        <w:spacing w:before="100" w:after="100" w:line="276" w:lineRule="auto"/>
      </w:pPr>
    </w:p>
    <w:p>
      <w:pPr>
        <w:spacing w:before="280" w:after="120" w:line="276" w:lineRule="auto"/>
      </w:pPr>
      <w:r>
        <w:rPr>
          <w:rFonts w:ascii="Calibri" w:hAnsi="Calibri"/>
          <w:b/>
          <w:sz w:val="32"/>
          <w:color w:val="1F3864"/>
        </w:rPr>
        <w:t xml:space="preserve">7. Quantitative Measurement Results &amp; Tabulation</w:t>
      </w:r>
    </w:p>
    <w:p>
      <w:pPr>
        <w:spacing w:before="100" w:after="100" w:line="276" w:lineRule="auto"/>
      </w:pPr>
      <w:r>
        <w:rPr>
          <w:rFonts w:ascii="Calibri" w:hAnsi="Calibri"/>
          <w:sz w:val="22"/>
          <w:color w:val="1E293B"/>
        </w:rPr>
        <w:t xml:space="preserve">Testing was administered using moderated concurrent think-aloud protocols on the single-file Flutter prototype. All 9 task trials were successfully completed without intervention:</w:t>
      </w:r>
    </w:p>
    <w:p>
      <w:pPr>
        <w:spacing w:before="220" w:after="100" w:line="276" w:lineRule="auto"/>
      </w:pPr>
      <w:r>
        <w:rPr>
          <w:rFonts w:ascii="Calibri" w:hAnsi="Calibri"/>
          <w:b/>
          <w:sz w:val="26"/>
          <w:color w:val="2E5C8A"/>
        </w:rPr>
        <w:t xml:space="preserve">7.1 Task Completion Time Measurements (Seconds)</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1800" w:type="dxa"/>
            <w:shd w:val="clear" w:color="auto" w:fill="1F3864"/>
          </w:tcPr>
          <w:p>
            <w:pPr>
              <w:spacing w:before="40" w:after="40" w:line="276" w:lineRule="auto"/>
            </w:pPr>
            <w:r>
              <w:rPr>
                <w:rFonts w:ascii="Calibri" w:hAnsi="Calibri"/>
                <w:b/>
                <w:sz w:val="20"/>
                <w:color w:val="FFFFFF"/>
              </w:rPr>
              <w:t xml:space="preserve">Participant ID</w:t>
            </w:r>
          </w:p>
        </w:tc>
        <w:tc>
          <w:tcPr>
            <w:tcW w:w="1500" w:type="dxa"/>
            <w:shd w:val="clear" w:color="auto" w:fill="1F3864"/>
          </w:tcPr>
          <w:p>
            <w:pPr>
              <w:spacing w:before="40" w:after="40" w:line="276" w:lineRule="auto"/>
            </w:pPr>
            <w:r>
              <w:rPr>
                <w:rFonts w:ascii="Calibri" w:hAnsi="Calibri"/>
                <w:b/>
                <w:sz w:val="20"/>
                <w:color w:val="FFFFFF"/>
              </w:rPr>
              <w:t xml:space="preserve">Task 1: Learnability (Target &lt;=10s)</w:t>
            </w:r>
          </w:p>
        </w:tc>
        <w:tc>
          <w:tcPr>
            <w:tcW w:w="1500" w:type="dxa"/>
            <w:shd w:val="clear" w:color="auto" w:fill="1F3864"/>
          </w:tcPr>
          <w:p>
            <w:pPr>
              <w:spacing w:before="40" w:after="40" w:line="276" w:lineRule="auto"/>
            </w:pPr>
            <w:r>
              <w:rPr>
                <w:rFonts w:ascii="Calibri" w:hAnsi="Calibri"/>
                <w:b/>
                <w:sz w:val="20"/>
                <w:color w:val="FFFFFF"/>
              </w:rPr>
              <w:t xml:space="preserve">Task 2: Efficiency (Target &lt;=60s)</w:t>
            </w:r>
          </w:p>
        </w:tc>
        <w:tc>
          <w:tcPr>
            <w:tcW w:w="1500" w:type="dxa"/>
            <w:shd w:val="clear" w:color="auto" w:fill="1F3864"/>
          </w:tcPr>
          <w:p>
            <w:pPr>
              <w:spacing w:before="40" w:after="40" w:line="276" w:lineRule="auto"/>
            </w:pPr>
            <w:r>
              <w:rPr>
                <w:rFonts w:ascii="Calibri" w:hAnsi="Calibri"/>
                <w:b/>
                <w:sz w:val="20"/>
                <w:color w:val="FFFFFF"/>
              </w:rPr>
              <w:t xml:space="preserve">Task 3: Governance (Target &lt;=45s)</w:t>
            </w:r>
          </w:p>
        </w:tc>
        <w:tc>
          <w:tcPr>
            <w:tcW w:w="1500" w:type="dxa"/>
            <w:shd w:val="clear" w:color="auto" w:fill="1F3864"/>
          </w:tcPr>
          <w:p>
            <w:pPr>
              <w:spacing w:before="40" w:after="40" w:line="276" w:lineRule="auto"/>
            </w:pPr>
            <w:r>
              <w:rPr>
                <w:rFonts w:ascii="Calibri" w:hAnsi="Calibri"/>
                <w:b/>
                <w:sz w:val="20"/>
                <w:color w:val="FFFFFF"/>
              </w:rPr>
              <w:t xml:space="preserve">Individual Mean Time</w:t>
            </w:r>
          </w:p>
        </w:tc>
        <w:tc>
          <w:tcPr>
            <w:tcW w:w="1560" w:type="dxa"/>
            <w:shd w:val="clear" w:color="auto" w:fill="1F3864"/>
          </w:tcPr>
          <w:p>
            <w:pPr>
              <w:spacing w:before="40" w:after="40" w:line="276" w:lineRule="auto"/>
            </w:pPr>
            <w:r>
              <w:rPr>
                <w:rFonts w:ascii="Calibri" w:hAnsi="Calibri"/>
                <w:b/>
                <w:sz w:val="20"/>
                <w:color w:val="FFFFFF"/>
              </w:rPr>
              <w:t xml:space="preserve">Task Completion Rate</w:t>
            </w:r>
          </w:p>
        </w:tc>
      </w:tr>
      <w:tr>
        <w:tc>
          <w:tcPr>
            <w:tcW w:w="1800" w:type="dxa"/>
            <w:shd w:val="clear" w:color="auto" w:fill="FFFFFF"/>
          </w:tcPr>
          <w:p>
            <w:pPr>
              <w:spacing w:before="30" w:after="30" w:line="276" w:lineRule="auto"/>
            </w:pPr>
            <w:r>
              <w:rPr>
                <w:rFonts w:ascii="Calibri" w:hAnsi="Calibri"/>
                <w:b/>
                <w:sz w:val="20"/>
                <w:color w:val="0F172A"/>
              </w:rPr>
              <w:t xml:space="preserve">Participant 1 (P1)</w:t>
            </w:r>
          </w:p>
        </w:tc>
        <w:tc>
          <w:tcPr>
            <w:tcW w:w="1500" w:type="dxa"/>
            <w:shd w:val="clear" w:color="auto" w:fill="FFFFFF"/>
          </w:tcPr>
          <w:p>
            <w:pPr>
              <w:spacing w:before="30" w:after="30" w:line="276" w:lineRule="auto"/>
            </w:pPr>
            <w:r>
              <w:rPr>
                <w:rFonts w:ascii="Calibri" w:hAnsi="Calibri"/>
                <w:sz w:val="20"/>
                <w:color w:val="334155"/>
              </w:rPr>
              <w:t xml:space="preserve">5.4 seconds</w:t>
            </w:r>
          </w:p>
        </w:tc>
        <w:tc>
          <w:tcPr>
            <w:tcW w:w="1500" w:type="dxa"/>
            <w:shd w:val="clear" w:color="auto" w:fill="FFFFFF"/>
          </w:tcPr>
          <w:p>
            <w:pPr>
              <w:spacing w:before="30" w:after="30" w:line="276" w:lineRule="auto"/>
            </w:pPr>
            <w:r>
              <w:rPr>
                <w:rFonts w:ascii="Calibri" w:hAnsi="Calibri"/>
                <w:sz w:val="20"/>
                <w:color w:val="334155"/>
              </w:rPr>
              <w:t xml:space="preserve">31.2 seconds</w:t>
            </w:r>
          </w:p>
        </w:tc>
        <w:tc>
          <w:tcPr>
            <w:tcW w:w="1500" w:type="dxa"/>
            <w:shd w:val="clear" w:color="auto" w:fill="FFFFFF"/>
          </w:tcPr>
          <w:p>
            <w:pPr>
              <w:spacing w:before="30" w:after="30" w:line="276" w:lineRule="auto"/>
            </w:pPr>
            <w:r>
              <w:rPr>
                <w:rFonts w:ascii="Calibri" w:hAnsi="Calibri"/>
                <w:sz w:val="20"/>
                <w:color w:val="334155"/>
              </w:rPr>
              <w:t xml:space="preserve">24.5 seconds</w:t>
            </w:r>
          </w:p>
        </w:tc>
        <w:tc>
          <w:tcPr>
            <w:tcW w:w="1500" w:type="dxa"/>
            <w:shd w:val="clear" w:color="auto" w:fill="FFFFFF"/>
          </w:tcPr>
          <w:p>
            <w:pPr>
              <w:spacing w:before="30" w:after="30" w:line="276" w:lineRule="auto"/>
            </w:pPr>
            <w:r>
              <w:rPr>
                <w:rFonts w:ascii="Calibri" w:hAnsi="Calibri"/>
                <w:sz w:val="20"/>
                <w:color w:val="334155"/>
              </w:rPr>
              <w:t xml:space="preserve">20.37 seconds</w:t>
            </w:r>
          </w:p>
        </w:tc>
        <w:tc>
          <w:tcPr>
            <w:tcW w:w="1560" w:type="dxa"/>
            <w:shd w:val="clear" w:color="auto" w:fill="FFFFFF"/>
          </w:tcPr>
          <w:p>
            <w:pPr>
              <w:spacing w:before="30" w:after="30" w:line="276" w:lineRule="auto"/>
            </w:pPr>
            <w:r>
              <w:rPr>
                <w:rFonts w:ascii="Calibri" w:hAnsi="Calibri"/>
                <w:sz w:val="20"/>
                <w:color w:val="334155"/>
              </w:rPr>
              <w:t xml:space="preserve">100% (3/3 Tasks)</w:t>
            </w:r>
          </w:p>
        </w:tc>
      </w:tr>
      <w:tr>
        <w:tc>
          <w:tcPr>
            <w:tcW w:w="1800" w:type="dxa"/>
            <w:shd w:val="clear" w:color="auto" w:fill="F8FAFC"/>
          </w:tcPr>
          <w:p>
            <w:pPr>
              <w:spacing w:before="30" w:after="30" w:line="276" w:lineRule="auto"/>
            </w:pPr>
            <w:r>
              <w:rPr>
                <w:rFonts w:ascii="Calibri" w:hAnsi="Calibri"/>
                <w:b/>
                <w:sz w:val="20"/>
                <w:color w:val="0F172A"/>
              </w:rPr>
              <w:t xml:space="preserve">Participant 2 (P2)</w:t>
            </w:r>
          </w:p>
        </w:tc>
        <w:tc>
          <w:tcPr>
            <w:tcW w:w="1500" w:type="dxa"/>
            <w:shd w:val="clear" w:color="auto" w:fill="F8FAFC"/>
          </w:tcPr>
          <w:p>
            <w:pPr>
              <w:spacing w:before="30" w:after="30" w:line="276" w:lineRule="auto"/>
            </w:pPr>
            <w:r>
              <w:rPr>
                <w:rFonts w:ascii="Calibri" w:hAnsi="Calibri"/>
                <w:sz w:val="20"/>
                <w:color w:val="334155"/>
              </w:rPr>
              <w:t xml:space="preserve">7.8 seconds</w:t>
            </w:r>
          </w:p>
        </w:tc>
        <w:tc>
          <w:tcPr>
            <w:tcW w:w="1500" w:type="dxa"/>
            <w:shd w:val="clear" w:color="auto" w:fill="F8FAFC"/>
          </w:tcPr>
          <w:p>
            <w:pPr>
              <w:spacing w:before="30" w:after="30" w:line="276" w:lineRule="auto"/>
            </w:pPr>
            <w:r>
              <w:rPr>
                <w:rFonts w:ascii="Calibri" w:hAnsi="Calibri"/>
                <w:sz w:val="20"/>
                <w:color w:val="334155"/>
              </w:rPr>
              <w:t xml:space="preserve">42.5 seconds</w:t>
            </w:r>
          </w:p>
        </w:tc>
        <w:tc>
          <w:tcPr>
            <w:tcW w:w="1500" w:type="dxa"/>
            <w:shd w:val="clear" w:color="auto" w:fill="F8FAFC"/>
          </w:tcPr>
          <w:p>
            <w:pPr>
              <w:spacing w:before="30" w:after="30" w:line="276" w:lineRule="auto"/>
            </w:pPr>
            <w:r>
              <w:rPr>
                <w:rFonts w:ascii="Calibri" w:hAnsi="Calibri"/>
                <w:sz w:val="20"/>
                <w:color w:val="334155"/>
              </w:rPr>
              <w:t xml:space="preserve">28.2 seconds</w:t>
            </w:r>
          </w:p>
        </w:tc>
        <w:tc>
          <w:tcPr>
            <w:tcW w:w="1500" w:type="dxa"/>
            <w:shd w:val="clear" w:color="auto" w:fill="F8FAFC"/>
          </w:tcPr>
          <w:p>
            <w:pPr>
              <w:spacing w:before="30" w:after="30" w:line="276" w:lineRule="auto"/>
            </w:pPr>
            <w:r>
              <w:rPr>
                <w:rFonts w:ascii="Calibri" w:hAnsi="Calibri"/>
                <w:sz w:val="20"/>
                <w:color w:val="334155"/>
              </w:rPr>
              <w:t xml:space="preserve">26.17 seconds</w:t>
            </w:r>
          </w:p>
        </w:tc>
        <w:tc>
          <w:tcPr>
            <w:tcW w:w="1560" w:type="dxa"/>
            <w:shd w:val="clear" w:color="auto" w:fill="F8FAFC"/>
          </w:tcPr>
          <w:p>
            <w:pPr>
              <w:spacing w:before="30" w:after="30" w:line="276" w:lineRule="auto"/>
            </w:pPr>
            <w:r>
              <w:rPr>
                <w:rFonts w:ascii="Calibri" w:hAnsi="Calibri"/>
                <w:sz w:val="20"/>
                <w:color w:val="334155"/>
              </w:rPr>
              <w:t xml:space="preserve">100% (3/3 Tasks)</w:t>
            </w:r>
          </w:p>
        </w:tc>
      </w:tr>
      <w:tr>
        <w:tc>
          <w:tcPr>
            <w:tcW w:w="1800" w:type="dxa"/>
            <w:shd w:val="clear" w:color="auto" w:fill="FFFFFF"/>
          </w:tcPr>
          <w:p>
            <w:pPr>
              <w:spacing w:before="30" w:after="30" w:line="276" w:lineRule="auto"/>
            </w:pPr>
            <w:r>
              <w:rPr>
                <w:rFonts w:ascii="Calibri" w:hAnsi="Calibri"/>
                <w:b/>
                <w:sz w:val="20"/>
                <w:color w:val="0F172A"/>
              </w:rPr>
              <w:t xml:space="preserve">Participant 3 (P3)</w:t>
            </w:r>
          </w:p>
        </w:tc>
        <w:tc>
          <w:tcPr>
            <w:tcW w:w="1500" w:type="dxa"/>
            <w:shd w:val="clear" w:color="auto" w:fill="FFFFFF"/>
          </w:tcPr>
          <w:p>
            <w:pPr>
              <w:spacing w:before="30" w:after="30" w:line="276" w:lineRule="auto"/>
            </w:pPr>
            <w:r>
              <w:rPr>
                <w:rFonts w:ascii="Calibri" w:hAnsi="Calibri"/>
                <w:sz w:val="20"/>
                <w:color w:val="334155"/>
              </w:rPr>
              <w:t xml:space="preserve">5.1 seconds</w:t>
            </w:r>
          </w:p>
        </w:tc>
        <w:tc>
          <w:tcPr>
            <w:tcW w:w="1500" w:type="dxa"/>
            <w:shd w:val="clear" w:color="auto" w:fill="FFFFFF"/>
          </w:tcPr>
          <w:p>
            <w:pPr>
              <w:spacing w:before="30" w:after="30" w:line="276" w:lineRule="auto"/>
            </w:pPr>
            <w:r>
              <w:rPr>
                <w:rFonts w:ascii="Calibri" w:hAnsi="Calibri"/>
                <w:sz w:val="20"/>
                <w:color w:val="334155"/>
              </w:rPr>
              <w:t xml:space="preserve">30.4 seconds</w:t>
            </w:r>
          </w:p>
        </w:tc>
        <w:tc>
          <w:tcPr>
            <w:tcW w:w="1500" w:type="dxa"/>
            <w:shd w:val="clear" w:color="auto" w:fill="FFFFFF"/>
          </w:tcPr>
          <w:p>
            <w:pPr>
              <w:spacing w:before="30" w:after="30" w:line="276" w:lineRule="auto"/>
            </w:pPr>
            <w:r>
              <w:rPr>
                <w:rFonts w:ascii="Calibri" w:hAnsi="Calibri"/>
                <w:sz w:val="20"/>
                <w:color w:val="334155"/>
              </w:rPr>
              <w:t xml:space="preserve">21.8 seconds</w:t>
            </w:r>
          </w:p>
        </w:tc>
        <w:tc>
          <w:tcPr>
            <w:tcW w:w="1500" w:type="dxa"/>
            <w:shd w:val="clear" w:color="auto" w:fill="FFFFFF"/>
          </w:tcPr>
          <w:p>
            <w:pPr>
              <w:spacing w:before="30" w:after="30" w:line="276" w:lineRule="auto"/>
            </w:pPr>
            <w:r>
              <w:rPr>
                <w:rFonts w:ascii="Calibri" w:hAnsi="Calibri"/>
                <w:sz w:val="20"/>
                <w:color w:val="334155"/>
              </w:rPr>
              <w:t xml:space="preserve">19.10 seconds</w:t>
            </w:r>
          </w:p>
        </w:tc>
        <w:tc>
          <w:tcPr>
            <w:tcW w:w="1560" w:type="dxa"/>
            <w:shd w:val="clear" w:color="auto" w:fill="FFFFFF"/>
          </w:tcPr>
          <w:p>
            <w:pPr>
              <w:spacing w:before="30" w:after="30" w:line="276" w:lineRule="auto"/>
            </w:pPr>
            <w:r>
              <w:rPr>
                <w:rFonts w:ascii="Calibri" w:hAnsi="Calibri"/>
                <w:sz w:val="20"/>
                <w:color w:val="334155"/>
              </w:rPr>
              <w:t xml:space="preserve">100% (3/3 Tasks)</w:t>
            </w:r>
          </w:p>
        </w:tc>
      </w:tr>
      <w:tr>
        <w:tc>
          <w:tcPr>
            <w:tcW w:w="1800" w:type="dxa"/>
            <w:shd w:val="clear" w:color="auto" w:fill="F8FAFC"/>
          </w:tcPr>
          <w:p>
            <w:pPr>
              <w:spacing w:before="30" w:after="30" w:line="276" w:lineRule="auto"/>
            </w:pPr>
            <w:r>
              <w:rPr>
                <w:rFonts w:ascii="Calibri" w:hAnsi="Calibri"/>
                <w:b/>
                <w:sz w:val="20"/>
                <w:color w:val="0F172A"/>
              </w:rPr>
              <w:t xml:space="preserve">Cohort Mean Observed</w:t>
            </w:r>
          </w:p>
        </w:tc>
        <w:tc>
          <w:tcPr>
            <w:tcW w:w="1500" w:type="dxa"/>
            <w:shd w:val="clear" w:color="auto" w:fill="F8FAFC"/>
          </w:tcPr>
          <w:p>
            <w:pPr>
              <w:spacing w:before="30" w:after="30" w:line="276" w:lineRule="auto"/>
            </w:pPr>
            <w:r>
              <w:rPr>
                <w:rFonts w:ascii="Calibri" w:hAnsi="Calibri"/>
                <w:sz w:val="20"/>
                <w:color w:val="334155"/>
              </w:rPr>
              <w:t xml:space="preserve">6.10 seconds</w:t>
            </w:r>
          </w:p>
        </w:tc>
        <w:tc>
          <w:tcPr>
            <w:tcW w:w="1500" w:type="dxa"/>
            <w:shd w:val="clear" w:color="auto" w:fill="F8FAFC"/>
          </w:tcPr>
          <w:p>
            <w:pPr>
              <w:spacing w:before="30" w:after="30" w:line="276" w:lineRule="auto"/>
            </w:pPr>
            <w:r>
              <w:rPr>
                <w:rFonts w:ascii="Calibri" w:hAnsi="Calibri"/>
                <w:sz w:val="20"/>
                <w:color w:val="334155"/>
              </w:rPr>
              <w:t xml:space="preserve">34.70 seconds</w:t>
            </w:r>
          </w:p>
        </w:tc>
        <w:tc>
          <w:tcPr>
            <w:tcW w:w="1500" w:type="dxa"/>
            <w:shd w:val="clear" w:color="auto" w:fill="F8FAFC"/>
          </w:tcPr>
          <w:p>
            <w:pPr>
              <w:spacing w:before="30" w:after="30" w:line="276" w:lineRule="auto"/>
            </w:pPr>
            <w:r>
              <w:rPr>
                <w:rFonts w:ascii="Calibri" w:hAnsi="Calibri"/>
                <w:sz w:val="20"/>
                <w:color w:val="334155"/>
              </w:rPr>
              <w:t xml:space="preserve">24.83 seconds</w:t>
            </w:r>
          </w:p>
        </w:tc>
        <w:tc>
          <w:tcPr>
            <w:tcW w:w="1500" w:type="dxa"/>
            <w:shd w:val="clear" w:color="auto" w:fill="F8FAFC"/>
          </w:tcPr>
          <w:p>
            <w:pPr>
              <w:spacing w:before="30" w:after="30" w:line="276" w:lineRule="auto"/>
            </w:pPr>
            <w:r>
              <w:rPr>
                <w:rFonts w:ascii="Calibri" w:hAnsi="Calibri"/>
                <w:sz w:val="20"/>
                <w:color w:val="334155"/>
              </w:rPr>
              <w:t xml:space="preserve">21.88 seconds</w:t>
            </w:r>
          </w:p>
        </w:tc>
        <w:tc>
          <w:tcPr>
            <w:tcW w:w="1560" w:type="dxa"/>
            <w:shd w:val="clear" w:color="auto" w:fill="F8FAFC"/>
          </w:tcPr>
          <w:p>
            <w:pPr>
              <w:spacing w:before="30" w:after="30" w:line="276" w:lineRule="auto"/>
            </w:pPr>
            <w:r>
              <w:rPr>
                <w:rFonts w:ascii="Calibri" w:hAnsi="Calibri"/>
                <w:sz w:val="20"/>
                <w:color w:val="334155"/>
              </w:rPr>
              <w:t xml:space="preserve">100% (9/9 Total)</w:t>
            </w:r>
          </w:p>
        </w:tc>
      </w:tr>
      <w:tr>
        <w:tc>
          <w:tcPr>
            <w:tcW w:w="1800" w:type="dxa"/>
            <w:shd w:val="clear" w:color="auto" w:fill="FFFFFF"/>
          </w:tcPr>
          <w:p>
            <w:pPr>
              <w:spacing w:before="30" w:after="30" w:line="276" w:lineRule="auto"/>
            </w:pPr>
            <w:r>
              <w:rPr>
                <w:rFonts w:ascii="Calibri" w:hAnsi="Calibri"/>
                <w:b/>
                <w:sz w:val="20"/>
                <w:color w:val="0F172A"/>
              </w:rPr>
              <w:t xml:space="preserve">Target Benchmark</w:t>
            </w:r>
          </w:p>
        </w:tc>
        <w:tc>
          <w:tcPr>
            <w:tcW w:w="1500" w:type="dxa"/>
            <w:shd w:val="clear" w:color="auto" w:fill="FFFFFF"/>
          </w:tcPr>
          <w:p>
            <w:pPr>
              <w:spacing w:before="30" w:after="30" w:line="276" w:lineRule="auto"/>
            </w:pPr>
            <w:r>
              <w:rPr>
                <w:rFonts w:ascii="Calibri" w:hAnsi="Calibri"/>
                <w:sz w:val="20"/>
                <w:color w:val="334155"/>
              </w:rPr>
              <w:t xml:space="preserve">&lt;= 10.0 seconds</w:t>
            </w:r>
          </w:p>
        </w:tc>
        <w:tc>
          <w:tcPr>
            <w:tcW w:w="1500" w:type="dxa"/>
            <w:shd w:val="clear" w:color="auto" w:fill="FFFFFF"/>
          </w:tcPr>
          <w:p>
            <w:pPr>
              <w:spacing w:before="30" w:after="30" w:line="276" w:lineRule="auto"/>
            </w:pPr>
            <w:r>
              <w:rPr>
                <w:rFonts w:ascii="Calibri" w:hAnsi="Calibri"/>
                <w:sz w:val="20"/>
                <w:color w:val="334155"/>
              </w:rPr>
              <w:t xml:space="preserve">&lt;= 60.0 seconds</w:t>
            </w:r>
          </w:p>
        </w:tc>
        <w:tc>
          <w:tcPr>
            <w:tcW w:w="1500" w:type="dxa"/>
            <w:shd w:val="clear" w:color="auto" w:fill="FFFFFF"/>
          </w:tcPr>
          <w:p>
            <w:pPr>
              <w:spacing w:before="30" w:after="30" w:line="276" w:lineRule="auto"/>
            </w:pPr>
            <w:r>
              <w:rPr>
                <w:rFonts w:ascii="Calibri" w:hAnsi="Calibri"/>
                <w:sz w:val="20"/>
                <w:color w:val="334155"/>
              </w:rPr>
              <w:t xml:space="preserve">&lt;= 45.0 seconds</w:t>
            </w:r>
          </w:p>
        </w:tc>
        <w:tc>
          <w:tcPr>
            <w:tcW w:w="1500" w:type="dxa"/>
            <w:shd w:val="clear" w:color="auto" w:fill="FFFFFF"/>
          </w:tcPr>
          <w:p>
            <w:pPr>
              <w:spacing w:before="30" w:after="30" w:line="276" w:lineRule="auto"/>
            </w:pPr>
            <w:r>
              <w:rPr>
                <w:rFonts w:ascii="Calibri" w:hAnsi="Calibri"/>
                <w:sz w:val="20"/>
                <w:color w:val="334155"/>
              </w:rPr>
              <w:t xml:space="preserve">—</w:t>
            </w:r>
          </w:p>
        </w:tc>
        <w:tc>
          <w:tcPr>
            <w:tcW w:w="1560" w:type="dxa"/>
            <w:shd w:val="clear" w:color="auto" w:fill="FFFFFF"/>
          </w:tcPr>
          <w:p>
            <w:pPr>
              <w:spacing w:before="30" w:after="30" w:line="276" w:lineRule="auto"/>
            </w:pPr>
            <w:r>
              <w:rPr>
                <w:rFonts w:ascii="Calibri" w:hAnsi="Calibri"/>
                <w:sz w:val="20"/>
                <w:color w:val="334155"/>
              </w:rPr>
              <w:t xml:space="preserve">&gt;= 90% Target</w:t>
            </w:r>
          </w:p>
        </w:tc>
      </w:tr>
      <w:tr>
        <w:tc>
          <w:tcPr>
            <w:tcW w:w="1800" w:type="dxa"/>
            <w:shd w:val="clear" w:color="auto" w:fill="F8FAFC"/>
          </w:tcPr>
          <w:p>
            <w:pPr>
              <w:spacing w:before="30" w:after="30" w:line="276" w:lineRule="auto"/>
            </w:pPr>
            <w:r>
              <w:rPr>
                <w:rFonts w:ascii="Calibri" w:hAnsi="Calibri"/>
                <w:b/>
                <w:sz w:val="20"/>
                <w:color w:val="0F172A"/>
              </w:rPr>
              <w:t xml:space="preserve">Performance Margin</w:t>
            </w:r>
          </w:p>
        </w:tc>
        <w:tc>
          <w:tcPr>
            <w:tcW w:w="1500" w:type="dxa"/>
            <w:shd w:val="clear" w:color="auto" w:fill="F8FAFC"/>
          </w:tcPr>
          <w:p>
            <w:pPr>
              <w:spacing w:before="30" w:after="30" w:line="276" w:lineRule="auto"/>
            </w:pPr>
            <w:r>
              <w:rPr>
                <w:rFonts w:ascii="Calibri" w:hAnsi="Calibri"/>
                <w:sz w:val="20"/>
                <w:color w:val="334155"/>
              </w:rPr>
              <w:t xml:space="preserve">+39.0% faster</w:t>
            </w:r>
          </w:p>
        </w:tc>
        <w:tc>
          <w:tcPr>
            <w:tcW w:w="1500" w:type="dxa"/>
            <w:shd w:val="clear" w:color="auto" w:fill="F8FAFC"/>
          </w:tcPr>
          <w:p>
            <w:pPr>
              <w:spacing w:before="30" w:after="30" w:line="276" w:lineRule="auto"/>
            </w:pPr>
            <w:r>
              <w:rPr>
                <w:rFonts w:ascii="Calibri" w:hAnsi="Calibri"/>
                <w:sz w:val="20"/>
                <w:color w:val="334155"/>
              </w:rPr>
              <w:t xml:space="preserve">+42.2% faster</w:t>
            </w:r>
          </w:p>
        </w:tc>
        <w:tc>
          <w:tcPr>
            <w:tcW w:w="1500" w:type="dxa"/>
            <w:shd w:val="clear" w:color="auto" w:fill="F8FAFC"/>
          </w:tcPr>
          <w:p>
            <w:pPr>
              <w:spacing w:before="30" w:after="30" w:line="276" w:lineRule="auto"/>
            </w:pPr>
            <w:r>
              <w:rPr>
                <w:rFonts w:ascii="Calibri" w:hAnsi="Calibri"/>
                <w:sz w:val="20"/>
                <w:color w:val="334155"/>
              </w:rPr>
              <w:t xml:space="preserve">+44.8% faster</w:t>
            </w:r>
          </w:p>
        </w:tc>
        <w:tc>
          <w:tcPr>
            <w:tcW w:w="1500" w:type="dxa"/>
            <w:shd w:val="clear" w:color="auto" w:fill="F8FAFC"/>
          </w:tcPr>
          <w:p>
            <w:pPr>
              <w:spacing w:before="30" w:after="30" w:line="276" w:lineRule="auto"/>
            </w:pPr>
            <w:r>
              <w:rPr>
                <w:rFonts w:ascii="Calibri" w:hAnsi="Calibri"/>
                <w:sz w:val="20"/>
                <w:color w:val="334155"/>
              </w:rPr>
              <w:t xml:space="preserve">Robust Safety Margin</w:t>
            </w:r>
          </w:p>
        </w:tc>
        <w:tc>
          <w:tcPr>
            <w:tcW w:w="1560" w:type="dxa"/>
            <w:shd w:val="clear" w:color="auto" w:fill="F8FAFC"/>
          </w:tcPr>
          <w:p>
            <w:pPr>
              <w:spacing w:before="30" w:after="30" w:line="276" w:lineRule="auto"/>
            </w:pPr>
            <w:r>
              <w:rPr>
                <w:rFonts w:ascii="Calibri" w:hAnsi="Calibri"/>
                <w:sz w:val="20"/>
                <w:color w:val="334155"/>
              </w:rPr>
              <w:t xml:space="preserve">100% Target Met</w:t>
            </w:r>
          </w:p>
        </w:tc>
      </w:tr>
    </w:tbl>
    <w:p>
      <w:pPr>
        <w:spacing w:before="100" w:after="100" w:line="276" w:lineRule="auto"/>
      </w:pPr>
    </w:p>
    <w:p>
      <w:pPr>
        <w:spacing w:before="220" w:after="100" w:line="276" w:lineRule="auto"/>
      </w:pPr>
      <w:r>
        <w:rPr>
          <w:rFonts w:ascii="Calibri" w:hAnsi="Calibri"/>
          <w:b/>
          <w:sz w:val="26"/>
          <w:color w:val="2E5C8A"/>
        </w:rPr>
        <w:t xml:space="preserve">7.2 Error Frequency, Slips &amp; Liability Awareness</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1800" w:type="dxa"/>
            <w:shd w:val="clear" w:color="auto" w:fill="1F3864"/>
          </w:tcPr>
          <w:p>
            <w:pPr>
              <w:spacing w:before="40" w:after="40" w:line="276" w:lineRule="auto"/>
            </w:pPr>
            <w:r>
              <w:rPr>
                <w:rFonts w:ascii="Calibri" w:hAnsi="Calibri"/>
                <w:b/>
                <w:sz w:val="20"/>
                <w:color w:val="FFFFFF"/>
              </w:rPr>
              <w:t xml:space="preserve">Usability Goal &amp; Dimension</w:t>
            </w:r>
          </w:p>
        </w:tc>
        <w:tc>
          <w:tcPr>
            <w:tcW w:w="1300" w:type="dxa"/>
            <w:shd w:val="clear" w:color="auto" w:fill="1F3864"/>
          </w:tcPr>
          <w:p>
            <w:pPr>
              <w:spacing w:before="40" w:after="40" w:line="276" w:lineRule="auto"/>
            </w:pPr>
            <w:r>
              <w:rPr>
                <w:rFonts w:ascii="Calibri" w:hAnsi="Calibri"/>
                <w:b/>
                <w:sz w:val="20"/>
                <w:color w:val="FFFFFF"/>
              </w:rPr>
              <w:t xml:space="preserve">P1 Observations</w:t>
            </w:r>
          </w:p>
        </w:tc>
        <w:tc>
          <w:tcPr>
            <w:tcW w:w="1500" w:type="dxa"/>
            <w:shd w:val="clear" w:color="auto" w:fill="1F3864"/>
          </w:tcPr>
          <w:p>
            <w:pPr>
              <w:spacing w:before="40" w:after="40" w:line="276" w:lineRule="auto"/>
            </w:pPr>
            <w:r>
              <w:rPr>
                <w:rFonts w:ascii="Calibri" w:hAnsi="Calibri"/>
                <w:b/>
                <w:sz w:val="20"/>
                <w:color w:val="FFFFFF"/>
              </w:rPr>
              <w:t xml:space="preserve">P2 Observations</w:t>
            </w:r>
          </w:p>
        </w:tc>
        <w:tc>
          <w:tcPr>
            <w:tcW w:w="1300" w:type="dxa"/>
            <w:shd w:val="clear" w:color="auto" w:fill="1F3864"/>
          </w:tcPr>
          <w:p>
            <w:pPr>
              <w:spacing w:before="40" w:after="40" w:line="276" w:lineRule="auto"/>
            </w:pPr>
            <w:r>
              <w:rPr>
                <w:rFonts w:ascii="Calibri" w:hAnsi="Calibri"/>
                <w:b/>
                <w:sz w:val="20"/>
                <w:color w:val="FFFFFF"/>
              </w:rPr>
              <w:t xml:space="preserve">P3 Observations</w:t>
            </w:r>
          </w:p>
        </w:tc>
        <w:tc>
          <w:tcPr>
            <w:tcW w:w="1160" w:type="dxa"/>
            <w:shd w:val="clear" w:color="auto" w:fill="1F3864"/>
          </w:tcPr>
          <w:p>
            <w:pPr>
              <w:spacing w:before="40" w:after="40" w:line="276" w:lineRule="auto"/>
            </w:pPr>
            <w:r>
              <w:rPr>
                <w:rFonts w:ascii="Calibri" w:hAnsi="Calibri"/>
                <w:b/>
                <w:sz w:val="20"/>
                <w:color w:val="FFFFFF"/>
              </w:rPr>
              <w:t xml:space="preserve">Cohort Result</w:t>
            </w:r>
          </w:p>
        </w:tc>
        <w:tc>
          <w:tcPr>
            <w:tcW w:w="1200" w:type="dxa"/>
            <w:shd w:val="clear" w:color="auto" w:fill="1F3864"/>
          </w:tcPr>
          <w:p>
            <w:pPr>
              <w:spacing w:before="40" w:after="40" w:line="276" w:lineRule="auto"/>
            </w:pPr>
            <w:r>
              <w:rPr>
                <w:rFonts w:ascii="Calibri" w:hAnsi="Calibri"/>
                <w:b/>
                <w:sz w:val="20"/>
                <w:color w:val="FFFFFF"/>
              </w:rPr>
              <w:t xml:space="preserve">Target Benchmark</w:t>
            </w:r>
          </w:p>
        </w:tc>
        <w:tc>
          <w:tcPr>
            <w:tcW w:w="1100" w:type="dxa"/>
            <w:shd w:val="clear" w:color="auto" w:fill="1F3864"/>
          </w:tcPr>
          <w:p>
            <w:pPr>
              <w:spacing w:before="40" w:after="40" w:line="276" w:lineRule="auto"/>
            </w:pPr>
            <w:r>
              <w:rPr>
                <w:rFonts w:ascii="Calibri" w:hAnsi="Calibri"/>
                <w:b/>
                <w:sz w:val="20"/>
                <w:color w:val="FFFFFF"/>
              </w:rPr>
              <w:t xml:space="preserve">Compliance</w:t>
            </w:r>
          </w:p>
        </w:tc>
      </w:tr>
      <w:tr>
        <w:tc>
          <w:tcPr>
            <w:tcW w:w="1800" w:type="dxa"/>
            <w:shd w:val="clear" w:color="auto" w:fill="FFFFFF"/>
          </w:tcPr>
          <w:p>
            <w:pPr>
              <w:spacing w:before="30" w:after="30" w:line="276" w:lineRule="auto"/>
            </w:pPr>
            <w:r>
              <w:rPr>
                <w:rFonts w:ascii="Calibri" w:hAnsi="Calibri"/>
                <w:b/>
                <w:sz w:val="20"/>
                <w:color w:val="0F172A"/>
              </w:rPr>
              <w:t xml:space="preserve">Task 1: Stage Recognition</w:t>
            </w:r>
          </w:p>
        </w:tc>
        <w:tc>
          <w:tcPr>
            <w:tcW w:w="1300" w:type="dxa"/>
            <w:shd w:val="clear" w:color="auto" w:fill="FFFFFF"/>
          </w:tcPr>
          <w:p>
            <w:pPr>
              <w:spacing w:before="30" w:after="30" w:line="276" w:lineRule="auto"/>
            </w:pPr>
            <w:r>
              <w:rPr>
                <w:rFonts w:ascii="Calibri" w:hAnsi="Calibri"/>
                <w:sz w:val="20"/>
                <w:color w:val="334155"/>
              </w:rPr>
              <w:t xml:space="preserve">0 errors (correct)</w:t>
            </w:r>
          </w:p>
        </w:tc>
        <w:tc>
          <w:tcPr>
            <w:tcW w:w="1500" w:type="dxa"/>
            <w:shd w:val="clear" w:color="auto" w:fill="FFFFFF"/>
          </w:tcPr>
          <w:p>
            <w:pPr>
              <w:spacing w:before="30" w:after="30" w:line="276" w:lineRule="auto"/>
            </w:pPr>
            <w:r>
              <w:rPr>
                <w:rFonts w:ascii="Calibri" w:hAnsi="Calibri"/>
                <w:sz w:val="20"/>
                <w:color w:val="334155"/>
              </w:rPr>
              <w:t xml:space="preserve">0 errors (correct)</w:t>
            </w:r>
          </w:p>
        </w:tc>
        <w:tc>
          <w:tcPr>
            <w:tcW w:w="1300" w:type="dxa"/>
            <w:shd w:val="clear" w:color="auto" w:fill="FFFFFF"/>
          </w:tcPr>
          <w:p>
            <w:pPr>
              <w:spacing w:before="30" w:after="30" w:line="276" w:lineRule="auto"/>
            </w:pPr>
            <w:r>
              <w:rPr>
                <w:rFonts w:ascii="Calibri" w:hAnsi="Calibri"/>
                <w:sz w:val="20"/>
                <w:color w:val="334155"/>
              </w:rPr>
              <w:t xml:space="preserve">0 errors (correct)</w:t>
            </w:r>
          </w:p>
        </w:tc>
        <w:tc>
          <w:tcPr>
            <w:tcW w:w="1160" w:type="dxa"/>
            <w:shd w:val="clear" w:color="auto" w:fill="FFFFFF"/>
          </w:tcPr>
          <w:p>
            <w:pPr>
              <w:spacing w:before="30" w:after="30" w:line="276" w:lineRule="auto"/>
            </w:pPr>
            <w:r>
              <w:rPr>
                <w:rFonts w:ascii="Calibri" w:hAnsi="Calibri"/>
                <w:sz w:val="20"/>
                <w:color w:val="334155"/>
              </w:rPr>
              <w:t xml:space="preserve">100% correct</w:t>
            </w:r>
          </w:p>
        </w:tc>
        <w:tc>
          <w:tcPr>
            <w:tcW w:w="1200" w:type="dxa"/>
            <w:shd w:val="clear" w:color="auto" w:fill="FFFFFF"/>
          </w:tcPr>
          <w:p>
            <w:pPr>
              <w:spacing w:before="30" w:after="30" w:line="276" w:lineRule="auto"/>
            </w:pPr>
            <w:r>
              <w:rPr>
                <w:rFonts w:ascii="Calibri" w:hAnsi="Calibri"/>
                <w:sz w:val="20"/>
                <w:color w:val="334155"/>
              </w:rPr>
              <w:t xml:space="preserve">&gt;= 90% accuracy</w:t>
            </w:r>
          </w:p>
        </w:tc>
        <w:tc>
          <w:tcPr>
            <w:tcW w:w="1100" w:type="dxa"/>
            <w:shd w:val="clear" w:color="auto" w:fill="FFFFFF"/>
          </w:tcPr>
          <w:p>
            <w:pPr>
              <w:spacing w:before="30" w:after="30" w:line="276" w:lineRule="auto"/>
            </w:pPr>
            <w:r>
              <w:rPr>
                <w:rFonts w:ascii="Calibri" w:hAnsi="Calibri"/>
                <w:sz w:val="20"/>
                <w:color w:val="334155"/>
              </w:rPr>
              <w:t xml:space="preserve">PASS</w:t>
            </w:r>
          </w:p>
        </w:tc>
      </w:tr>
      <w:tr>
        <w:tc>
          <w:tcPr>
            <w:tcW w:w="1800" w:type="dxa"/>
            <w:shd w:val="clear" w:color="auto" w:fill="F8FAFC"/>
          </w:tcPr>
          <w:p>
            <w:pPr>
              <w:spacing w:before="30" w:after="30" w:line="276" w:lineRule="auto"/>
            </w:pPr>
            <w:r>
              <w:rPr>
                <w:rFonts w:ascii="Calibri" w:hAnsi="Calibri"/>
                <w:b/>
                <w:sz w:val="20"/>
                <w:color w:val="0F172A"/>
              </w:rPr>
              <w:t xml:space="preserve">Task 2: Navigation Slips</w:t>
            </w:r>
          </w:p>
        </w:tc>
        <w:tc>
          <w:tcPr>
            <w:tcW w:w="1300" w:type="dxa"/>
            <w:shd w:val="clear" w:color="auto" w:fill="F8FAFC"/>
          </w:tcPr>
          <w:p>
            <w:pPr>
              <w:spacing w:before="30" w:after="30" w:line="276" w:lineRule="auto"/>
            </w:pPr>
            <w:r>
              <w:rPr>
                <w:rFonts w:ascii="Calibri" w:hAnsi="Calibri"/>
                <w:sz w:val="20"/>
                <w:color w:val="334155"/>
              </w:rPr>
              <w:t xml:space="preserve">0 slips</w:t>
            </w:r>
          </w:p>
        </w:tc>
        <w:tc>
          <w:tcPr>
            <w:tcW w:w="1500" w:type="dxa"/>
            <w:shd w:val="clear" w:color="auto" w:fill="F8FAFC"/>
          </w:tcPr>
          <w:p>
            <w:pPr>
              <w:spacing w:before="30" w:after="30" w:line="276" w:lineRule="auto"/>
            </w:pPr>
            <w:r>
              <w:rPr>
                <w:rFonts w:ascii="Calibri" w:hAnsi="Calibri"/>
                <w:sz w:val="20"/>
                <w:color w:val="334155"/>
              </w:rPr>
              <w:t xml:space="preserve">1 slip (tapped image to zoom)</w:t>
            </w:r>
          </w:p>
        </w:tc>
        <w:tc>
          <w:tcPr>
            <w:tcW w:w="1300" w:type="dxa"/>
            <w:shd w:val="clear" w:color="auto" w:fill="F8FAFC"/>
          </w:tcPr>
          <w:p>
            <w:pPr>
              <w:spacing w:before="30" w:after="30" w:line="276" w:lineRule="auto"/>
            </w:pPr>
            <w:r>
              <w:rPr>
                <w:rFonts w:ascii="Calibri" w:hAnsi="Calibri"/>
                <w:sz w:val="20"/>
                <w:color w:val="334155"/>
              </w:rPr>
              <w:t xml:space="preserve">0 slips</w:t>
            </w:r>
          </w:p>
        </w:tc>
        <w:tc>
          <w:tcPr>
            <w:tcW w:w="1160" w:type="dxa"/>
            <w:shd w:val="clear" w:color="auto" w:fill="F8FAFC"/>
          </w:tcPr>
          <w:p>
            <w:pPr>
              <w:spacing w:before="30" w:after="30" w:line="276" w:lineRule="auto"/>
            </w:pPr>
            <w:r>
              <w:rPr>
                <w:rFonts w:ascii="Calibri" w:hAnsi="Calibri"/>
                <w:sz w:val="20"/>
                <w:color w:val="334155"/>
              </w:rPr>
              <w:t xml:space="preserve">1 total slip</w:t>
            </w:r>
          </w:p>
        </w:tc>
        <w:tc>
          <w:tcPr>
            <w:tcW w:w="1200" w:type="dxa"/>
            <w:shd w:val="clear" w:color="auto" w:fill="F8FAFC"/>
          </w:tcPr>
          <w:p>
            <w:pPr>
              <w:spacing w:before="30" w:after="30" w:line="276" w:lineRule="auto"/>
            </w:pPr>
            <w:r>
              <w:rPr>
                <w:rFonts w:ascii="Calibri" w:hAnsi="Calibri"/>
                <w:sz w:val="20"/>
                <w:color w:val="334155"/>
              </w:rPr>
              <w:t xml:space="preserve">&lt;= 2 slips</w:t>
            </w:r>
          </w:p>
        </w:tc>
        <w:tc>
          <w:tcPr>
            <w:tcW w:w="1100" w:type="dxa"/>
            <w:shd w:val="clear" w:color="auto" w:fill="F8FAFC"/>
          </w:tcPr>
          <w:p>
            <w:pPr>
              <w:spacing w:before="30" w:after="30" w:line="276" w:lineRule="auto"/>
            </w:pPr>
            <w:r>
              <w:rPr>
                <w:rFonts w:ascii="Calibri" w:hAnsi="Calibri"/>
                <w:sz w:val="20"/>
                <w:color w:val="334155"/>
              </w:rPr>
              <w:t xml:space="preserve">PASS</w:t>
            </w:r>
          </w:p>
        </w:tc>
      </w:tr>
      <w:tr>
        <w:tc>
          <w:tcPr>
            <w:tcW w:w="1800" w:type="dxa"/>
            <w:shd w:val="clear" w:color="auto" w:fill="FFFFFF"/>
          </w:tcPr>
          <w:p>
            <w:pPr>
              <w:spacing w:before="30" w:after="30" w:line="276" w:lineRule="auto"/>
            </w:pPr>
            <w:r>
              <w:rPr>
                <w:rFonts w:ascii="Calibri" w:hAnsi="Calibri"/>
                <w:b/>
                <w:sz w:val="20"/>
                <w:color w:val="0F172A"/>
              </w:rPr>
              <w:t xml:space="preserve">Task 3: Accidental Sign-Offs</w:t>
            </w:r>
          </w:p>
        </w:tc>
        <w:tc>
          <w:tcPr>
            <w:tcW w:w="1300" w:type="dxa"/>
            <w:shd w:val="clear" w:color="auto" w:fill="FFFFFF"/>
          </w:tcPr>
          <w:p>
            <w:pPr>
              <w:spacing w:before="30" w:after="30" w:line="276" w:lineRule="auto"/>
            </w:pPr>
            <w:r>
              <w:rPr>
                <w:rFonts w:ascii="Calibri" w:hAnsi="Calibri"/>
                <w:sz w:val="20"/>
                <w:color w:val="334155"/>
              </w:rPr>
              <w:t xml:space="preserve">0 slips (deliberate)</w:t>
            </w:r>
          </w:p>
        </w:tc>
        <w:tc>
          <w:tcPr>
            <w:tcW w:w="1500" w:type="dxa"/>
            <w:shd w:val="clear" w:color="auto" w:fill="FFFFFF"/>
          </w:tcPr>
          <w:p>
            <w:pPr>
              <w:spacing w:before="30" w:after="30" w:line="276" w:lineRule="auto"/>
            </w:pPr>
            <w:r>
              <w:rPr>
                <w:rFonts w:ascii="Calibri" w:hAnsi="Calibri"/>
                <w:sz w:val="20"/>
                <w:color w:val="334155"/>
              </w:rPr>
              <w:t xml:space="preserve">0 slips (deliberate)</w:t>
            </w:r>
          </w:p>
        </w:tc>
        <w:tc>
          <w:tcPr>
            <w:tcW w:w="1300" w:type="dxa"/>
            <w:shd w:val="clear" w:color="auto" w:fill="FFFFFF"/>
          </w:tcPr>
          <w:p>
            <w:pPr>
              <w:spacing w:before="30" w:after="30" w:line="276" w:lineRule="auto"/>
            </w:pPr>
            <w:r>
              <w:rPr>
                <w:rFonts w:ascii="Calibri" w:hAnsi="Calibri"/>
                <w:sz w:val="20"/>
                <w:color w:val="334155"/>
              </w:rPr>
              <w:t xml:space="preserve">0 slips (deliberate)</w:t>
            </w:r>
          </w:p>
        </w:tc>
        <w:tc>
          <w:tcPr>
            <w:tcW w:w="1160" w:type="dxa"/>
            <w:shd w:val="clear" w:color="auto" w:fill="FFFFFF"/>
          </w:tcPr>
          <w:p>
            <w:pPr>
              <w:spacing w:before="30" w:after="30" w:line="276" w:lineRule="auto"/>
            </w:pPr>
            <w:r>
              <w:rPr>
                <w:rFonts w:ascii="Calibri" w:hAnsi="Calibri"/>
                <w:sz w:val="20"/>
                <w:color w:val="334155"/>
              </w:rPr>
              <w:t xml:space="preserve">0.0% error rate</w:t>
            </w:r>
          </w:p>
        </w:tc>
        <w:tc>
          <w:tcPr>
            <w:tcW w:w="1200" w:type="dxa"/>
            <w:shd w:val="clear" w:color="auto" w:fill="FFFFFF"/>
          </w:tcPr>
          <w:p>
            <w:pPr>
              <w:spacing w:before="30" w:after="30" w:line="276" w:lineRule="auto"/>
            </w:pPr>
            <w:r>
              <w:rPr>
                <w:rFonts w:ascii="Calibri" w:hAnsi="Calibri"/>
                <w:sz w:val="20"/>
                <w:color w:val="334155"/>
              </w:rPr>
              <w:t xml:space="preserve">0.0% error target</w:t>
            </w:r>
          </w:p>
        </w:tc>
        <w:tc>
          <w:tcPr>
            <w:tcW w:w="1100" w:type="dxa"/>
            <w:shd w:val="clear" w:color="auto" w:fill="FFFFFF"/>
          </w:tcPr>
          <w:p>
            <w:pPr>
              <w:spacing w:before="30" w:after="30" w:line="276" w:lineRule="auto"/>
            </w:pPr>
            <w:r>
              <w:rPr>
                <w:rFonts w:ascii="Calibri" w:hAnsi="Calibri"/>
                <w:sz w:val="20"/>
                <w:color w:val="334155"/>
              </w:rPr>
              <w:t xml:space="preserve">PASS</w:t>
            </w:r>
          </w:p>
        </w:tc>
      </w:tr>
      <w:tr>
        <w:tc>
          <w:tcPr>
            <w:tcW w:w="1800" w:type="dxa"/>
            <w:shd w:val="clear" w:color="auto" w:fill="F8FAFC"/>
          </w:tcPr>
          <w:p>
            <w:pPr>
              <w:spacing w:before="30" w:after="30" w:line="276" w:lineRule="auto"/>
            </w:pPr>
            <w:r>
              <w:rPr>
                <w:rFonts w:ascii="Calibri" w:hAnsi="Calibri"/>
                <w:b/>
                <w:sz w:val="20"/>
                <w:color w:val="0F172A"/>
              </w:rPr>
              <w:t xml:space="preserve">Task 3: Liability Awareness</w:t>
            </w:r>
          </w:p>
        </w:tc>
        <w:tc>
          <w:tcPr>
            <w:tcW w:w="1300" w:type="dxa"/>
            <w:shd w:val="clear" w:color="auto" w:fill="F8FAFC"/>
          </w:tcPr>
          <w:p>
            <w:pPr>
              <w:spacing w:before="30" w:after="30" w:line="276" w:lineRule="auto"/>
            </w:pPr>
            <w:r>
              <w:rPr>
                <w:rFonts w:ascii="Calibri" w:hAnsi="Calibri"/>
                <w:sz w:val="20"/>
                <w:color w:val="334155"/>
              </w:rPr>
              <w:t xml:space="preserve">100% ($12,500 AUD stated)</w:t>
            </w:r>
          </w:p>
        </w:tc>
        <w:tc>
          <w:tcPr>
            <w:tcW w:w="1500" w:type="dxa"/>
            <w:shd w:val="clear" w:color="auto" w:fill="F8FAFC"/>
          </w:tcPr>
          <w:p>
            <w:pPr>
              <w:spacing w:before="30" w:after="30" w:line="276" w:lineRule="auto"/>
            </w:pPr>
            <w:r>
              <w:rPr>
                <w:rFonts w:ascii="Calibri" w:hAnsi="Calibri"/>
                <w:sz w:val="20"/>
                <w:color w:val="334155"/>
              </w:rPr>
              <w:t xml:space="preserve">100% ($12,500 AUD stated)</w:t>
            </w:r>
          </w:p>
        </w:tc>
        <w:tc>
          <w:tcPr>
            <w:tcW w:w="1300" w:type="dxa"/>
            <w:shd w:val="clear" w:color="auto" w:fill="F8FAFC"/>
          </w:tcPr>
          <w:p>
            <w:pPr>
              <w:spacing w:before="30" w:after="30" w:line="276" w:lineRule="auto"/>
            </w:pPr>
            <w:r>
              <w:rPr>
                <w:rFonts w:ascii="Calibri" w:hAnsi="Calibri"/>
                <w:sz w:val="20"/>
                <w:color w:val="334155"/>
              </w:rPr>
              <w:t xml:space="preserve">100% ($12,500 AUD stated)</w:t>
            </w:r>
          </w:p>
        </w:tc>
        <w:tc>
          <w:tcPr>
            <w:tcW w:w="1160" w:type="dxa"/>
            <w:shd w:val="clear" w:color="auto" w:fill="F8FAFC"/>
          </w:tcPr>
          <w:p>
            <w:pPr>
              <w:spacing w:before="30" w:after="30" w:line="276" w:lineRule="auto"/>
            </w:pPr>
            <w:r>
              <w:rPr>
                <w:rFonts w:ascii="Calibri" w:hAnsi="Calibri"/>
                <w:sz w:val="20"/>
                <w:color w:val="334155"/>
              </w:rPr>
              <w:t xml:space="preserve">100% awareness</w:t>
            </w:r>
          </w:p>
        </w:tc>
        <w:tc>
          <w:tcPr>
            <w:tcW w:w="1200" w:type="dxa"/>
            <w:shd w:val="clear" w:color="auto" w:fill="F8FAFC"/>
          </w:tcPr>
          <w:p>
            <w:pPr>
              <w:spacing w:before="30" w:after="30" w:line="276" w:lineRule="auto"/>
            </w:pPr>
            <w:r>
              <w:rPr>
                <w:rFonts w:ascii="Calibri" w:hAnsi="Calibri"/>
                <w:sz w:val="20"/>
                <w:color w:val="334155"/>
              </w:rPr>
              <w:t xml:space="preserve">100% verbal target</w:t>
            </w:r>
          </w:p>
        </w:tc>
        <w:tc>
          <w:tcPr>
            <w:tcW w:w="1100" w:type="dxa"/>
            <w:shd w:val="clear" w:color="auto" w:fill="F8FAFC"/>
          </w:tcPr>
          <w:p>
            <w:pPr>
              <w:spacing w:before="30" w:after="30" w:line="276" w:lineRule="auto"/>
            </w:pPr>
            <w:r>
              <w:rPr>
                <w:rFonts w:ascii="Calibri" w:hAnsi="Calibri"/>
                <w:sz w:val="20"/>
                <w:color w:val="334155"/>
              </w:rPr>
              <w:t xml:space="preserve">PASS</w:t>
            </w:r>
          </w:p>
        </w:tc>
      </w:tr>
    </w:tbl>
    <w:p>
      <w:pPr>
        <w:spacing w:before="100" w:after="100" w:line="276" w:lineRule="auto"/>
      </w:pPr>
    </w:p>
    <w:p>
      <w:pPr>
        <w:spacing w:before="220" w:after="100" w:line="276" w:lineRule="auto"/>
      </w:pPr>
      <w:r>
        <w:rPr>
          <w:rFonts w:ascii="Calibri" w:hAnsi="Calibri"/>
          <w:b/>
          <w:sz w:val="26"/>
          <w:color w:val="2E5C8A"/>
        </w:rPr>
        <w:t xml:space="preserve">7.3 Subjective Usability Evaluation: Single Ease Question (SEQ)</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2600" w:type="dxa"/>
            <w:shd w:val="clear" w:color="auto" w:fill="1F3864"/>
          </w:tcPr>
          <w:p>
            <w:pPr>
              <w:spacing w:before="40" w:after="40" w:line="276" w:lineRule="auto"/>
            </w:pPr>
            <w:r>
              <w:rPr>
                <w:rFonts w:ascii="Calibri" w:hAnsi="Calibri"/>
                <w:b/>
                <w:sz w:val="20"/>
                <w:color w:val="FFFFFF"/>
              </w:rPr>
              <w:t xml:space="preserve">Usability Task Dimension</w:t>
            </w:r>
          </w:p>
        </w:tc>
        <w:tc>
          <w:tcPr>
            <w:tcW w:w="1300" w:type="dxa"/>
            <w:shd w:val="clear" w:color="auto" w:fill="1F3864"/>
          </w:tcPr>
          <w:p>
            <w:pPr>
              <w:spacing w:before="40" w:after="40" w:line="276" w:lineRule="auto"/>
            </w:pPr>
            <w:r>
              <w:rPr>
                <w:rFonts w:ascii="Calibri" w:hAnsi="Calibri"/>
                <w:b/>
                <w:sz w:val="20"/>
                <w:color w:val="FFFFFF"/>
              </w:rPr>
              <w:t xml:space="preserve">P1 Rating (1-7)</w:t>
            </w:r>
          </w:p>
        </w:tc>
        <w:tc>
          <w:tcPr>
            <w:tcW w:w="1300" w:type="dxa"/>
            <w:shd w:val="clear" w:color="auto" w:fill="1F3864"/>
          </w:tcPr>
          <w:p>
            <w:pPr>
              <w:spacing w:before="40" w:after="40" w:line="276" w:lineRule="auto"/>
            </w:pPr>
            <w:r>
              <w:rPr>
                <w:rFonts w:ascii="Calibri" w:hAnsi="Calibri"/>
                <w:b/>
                <w:sz w:val="20"/>
                <w:color w:val="FFFFFF"/>
              </w:rPr>
              <w:t xml:space="preserve">P2 Rating (1-7)</w:t>
            </w:r>
          </w:p>
        </w:tc>
        <w:tc>
          <w:tcPr>
            <w:tcW w:w="1300" w:type="dxa"/>
            <w:shd w:val="clear" w:color="auto" w:fill="1F3864"/>
          </w:tcPr>
          <w:p>
            <w:pPr>
              <w:spacing w:before="40" w:after="40" w:line="276" w:lineRule="auto"/>
            </w:pPr>
            <w:r>
              <w:rPr>
                <w:rFonts w:ascii="Calibri" w:hAnsi="Calibri"/>
                <w:b/>
                <w:sz w:val="20"/>
                <w:color w:val="FFFFFF"/>
              </w:rPr>
              <w:t xml:space="preserve">P3 Rating (1-7)</w:t>
            </w:r>
          </w:p>
        </w:tc>
        <w:tc>
          <w:tcPr>
            <w:tcW w:w="1400" w:type="dxa"/>
            <w:shd w:val="clear" w:color="auto" w:fill="1F3864"/>
          </w:tcPr>
          <w:p>
            <w:pPr>
              <w:spacing w:before="40" w:after="40" w:line="276" w:lineRule="auto"/>
            </w:pPr>
            <w:r>
              <w:rPr>
                <w:rFonts w:ascii="Calibri" w:hAnsi="Calibri"/>
                <w:b/>
                <w:sz w:val="20"/>
                <w:color w:val="FFFFFF"/>
              </w:rPr>
              <w:t xml:space="preserve">Mean SEQ Score</w:t>
            </w:r>
          </w:p>
        </w:tc>
        <w:tc>
          <w:tcPr>
            <w:tcW w:w="1460" w:type="dxa"/>
            <w:shd w:val="clear" w:color="auto" w:fill="1F3864"/>
          </w:tcPr>
          <w:p>
            <w:pPr>
              <w:spacing w:before="40" w:after="40" w:line="276" w:lineRule="auto"/>
            </w:pPr>
            <w:r>
              <w:rPr>
                <w:rFonts w:ascii="Calibri" w:hAnsi="Calibri"/>
                <w:b/>
                <w:sz w:val="20"/>
                <w:color w:val="FFFFFF"/>
              </w:rPr>
              <w:t xml:space="preserve">Percentage Ease Equivalent</w:t>
            </w:r>
          </w:p>
        </w:tc>
      </w:tr>
      <w:tr>
        <w:tc>
          <w:tcPr>
            <w:tcW w:w="2600" w:type="dxa"/>
            <w:shd w:val="clear" w:color="auto" w:fill="FFFFFF"/>
          </w:tcPr>
          <w:p>
            <w:pPr>
              <w:spacing w:before="30" w:after="30" w:line="276" w:lineRule="auto"/>
            </w:pPr>
            <w:r>
              <w:rPr>
                <w:rFonts w:ascii="Calibri" w:hAnsi="Calibri"/>
                <w:b/>
                <w:sz w:val="20"/>
                <w:color w:val="0F172A"/>
              </w:rPr>
              <w:t xml:space="preserve">Task 1: Learnability (Status Recognition)</w:t>
            </w:r>
          </w:p>
        </w:tc>
        <w:tc>
          <w:tcPr>
            <w:tcW w:w="1300" w:type="dxa"/>
            <w:shd w:val="clear" w:color="auto" w:fill="FFFFFF"/>
          </w:tcPr>
          <w:p>
            <w:pPr>
              <w:spacing w:before="30" w:after="30" w:line="276" w:lineRule="auto"/>
            </w:pPr>
            <w:r>
              <w:rPr>
                <w:rFonts w:ascii="Calibri" w:hAnsi="Calibri"/>
                <w:sz w:val="20"/>
                <w:color w:val="334155"/>
              </w:rPr>
              <w:t xml:space="preserve">7 / 7</w:t>
            </w:r>
          </w:p>
        </w:tc>
        <w:tc>
          <w:tcPr>
            <w:tcW w:w="1300" w:type="dxa"/>
            <w:shd w:val="clear" w:color="auto" w:fill="FFFFFF"/>
          </w:tcPr>
          <w:p>
            <w:pPr>
              <w:spacing w:before="30" w:after="30" w:line="276" w:lineRule="auto"/>
            </w:pPr>
            <w:r>
              <w:rPr>
                <w:rFonts w:ascii="Calibri" w:hAnsi="Calibri"/>
                <w:sz w:val="20"/>
                <w:color w:val="334155"/>
              </w:rPr>
              <w:t xml:space="preserve">6 / 7</w:t>
            </w:r>
          </w:p>
        </w:tc>
        <w:tc>
          <w:tcPr>
            <w:tcW w:w="1300" w:type="dxa"/>
            <w:shd w:val="clear" w:color="auto" w:fill="FFFFFF"/>
          </w:tcPr>
          <w:p>
            <w:pPr>
              <w:spacing w:before="30" w:after="30" w:line="276" w:lineRule="auto"/>
            </w:pPr>
            <w:r>
              <w:rPr>
                <w:rFonts w:ascii="Calibri" w:hAnsi="Calibri"/>
                <w:sz w:val="20"/>
                <w:color w:val="334155"/>
              </w:rPr>
              <w:t xml:space="preserve">7 / 7</w:t>
            </w:r>
          </w:p>
        </w:tc>
        <w:tc>
          <w:tcPr>
            <w:tcW w:w="1400" w:type="dxa"/>
            <w:shd w:val="clear" w:color="auto" w:fill="FFFFFF"/>
          </w:tcPr>
          <w:p>
            <w:pPr>
              <w:spacing w:before="30" w:after="30" w:line="276" w:lineRule="auto"/>
            </w:pPr>
            <w:r>
              <w:rPr>
                <w:rFonts w:ascii="Calibri" w:hAnsi="Calibri"/>
                <w:sz w:val="20"/>
                <w:color w:val="334155"/>
              </w:rPr>
              <w:t xml:space="preserve">6.67 / 7.0</w:t>
            </w:r>
          </w:p>
        </w:tc>
        <w:tc>
          <w:tcPr>
            <w:tcW w:w="1460" w:type="dxa"/>
            <w:shd w:val="clear" w:color="auto" w:fill="FFFFFF"/>
          </w:tcPr>
          <w:p>
            <w:pPr>
              <w:spacing w:before="30" w:after="30" w:line="276" w:lineRule="auto"/>
            </w:pPr>
            <w:r>
              <w:rPr>
                <w:rFonts w:ascii="Calibri" w:hAnsi="Calibri"/>
                <w:sz w:val="20"/>
                <w:color w:val="334155"/>
              </w:rPr>
              <w:t xml:space="preserve">95.3% Ease Rating</w:t>
            </w:r>
          </w:p>
        </w:tc>
      </w:tr>
      <w:tr>
        <w:tc>
          <w:tcPr>
            <w:tcW w:w="2600" w:type="dxa"/>
            <w:shd w:val="clear" w:color="auto" w:fill="F8FAFC"/>
          </w:tcPr>
          <w:p>
            <w:pPr>
              <w:spacing w:before="30" w:after="30" w:line="276" w:lineRule="auto"/>
            </w:pPr>
            <w:r>
              <w:rPr>
                <w:rFonts w:ascii="Calibri" w:hAnsi="Calibri"/>
                <w:b/>
                <w:sz w:val="20"/>
                <w:color w:val="0F172A"/>
              </w:rPr>
              <w:t xml:space="preserve">Task 2: Efficiency (Artefact Feedback)</w:t>
            </w:r>
          </w:p>
        </w:tc>
        <w:tc>
          <w:tcPr>
            <w:tcW w:w="1300" w:type="dxa"/>
            <w:shd w:val="clear" w:color="auto" w:fill="F8FAFC"/>
          </w:tcPr>
          <w:p>
            <w:pPr>
              <w:spacing w:before="30" w:after="30" w:line="276" w:lineRule="auto"/>
            </w:pPr>
            <w:r>
              <w:rPr>
                <w:rFonts w:ascii="Calibri" w:hAnsi="Calibri"/>
                <w:sz w:val="20"/>
                <w:color w:val="334155"/>
              </w:rPr>
              <w:t xml:space="preserve">6 / 7</w:t>
            </w:r>
          </w:p>
        </w:tc>
        <w:tc>
          <w:tcPr>
            <w:tcW w:w="1300" w:type="dxa"/>
            <w:shd w:val="clear" w:color="auto" w:fill="F8FAFC"/>
          </w:tcPr>
          <w:p>
            <w:pPr>
              <w:spacing w:before="30" w:after="30" w:line="276" w:lineRule="auto"/>
            </w:pPr>
            <w:r>
              <w:rPr>
                <w:rFonts w:ascii="Calibri" w:hAnsi="Calibri"/>
                <w:sz w:val="20"/>
                <w:color w:val="334155"/>
              </w:rPr>
              <w:t xml:space="preserve">6 / 7</w:t>
            </w:r>
          </w:p>
        </w:tc>
        <w:tc>
          <w:tcPr>
            <w:tcW w:w="1300" w:type="dxa"/>
            <w:shd w:val="clear" w:color="auto" w:fill="F8FAFC"/>
          </w:tcPr>
          <w:p>
            <w:pPr>
              <w:spacing w:before="30" w:after="30" w:line="276" w:lineRule="auto"/>
            </w:pPr>
            <w:r>
              <w:rPr>
                <w:rFonts w:ascii="Calibri" w:hAnsi="Calibri"/>
                <w:sz w:val="20"/>
                <w:color w:val="334155"/>
              </w:rPr>
              <w:t xml:space="preserve">7 / 7</w:t>
            </w:r>
          </w:p>
        </w:tc>
        <w:tc>
          <w:tcPr>
            <w:tcW w:w="1400" w:type="dxa"/>
            <w:shd w:val="clear" w:color="auto" w:fill="F8FAFC"/>
          </w:tcPr>
          <w:p>
            <w:pPr>
              <w:spacing w:before="30" w:after="30" w:line="276" w:lineRule="auto"/>
            </w:pPr>
            <w:r>
              <w:rPr>
                <w:rFonts w:ascii="Calibri" w:hAnsi="Calibri"/>
                <w:sz w:val="20"/>
                <w:color w:val="334155"/>
              </w:rPr>
              <w:t xml:space="preserve">6.33 / 7.0</w:t>
            </w:r>
          </w:p>
        </w:tc>
        <w:tc>
          <w:tcPr>
            <w:tcW w:w="1460" w:type="dxa"/>
            <w:shd w:val="clear" w:color="auto" w:fill="F8FAFC"/>
          </w:tcPr>
          <w:p>
            <w:pPr>
              <w:spacing w:before="30" w:after="30" w:line="276" w:lineRule="auto"/>
            </w:pPr>
            <w:r>
              <w:rPr>
                <w:rFonts w:ascii="Calibri" w:hAnsi="Calibri"/>
                <w:sz w:val="20"/>
                <w:color w:val="334155"/>
              </w:rPr>
              <w:t xml:space="preserve">90.4% Ease Rating</w:t>
            </w:r>
          </w:p>
        </w:tc>
      </w:tr>
      <w:tr>
        <w:tc>
          <w:tcPr>
            <w:tcW w:w="2600" w:type="dxa"/>
            <w:shd w:val="clear" w:color="auto" w:fill="FFFFFF"/>
          </w:tcPr>
          <w:p>
            <w:pPr>
              <w:spacing w:before="30" w:after="30" w:line="276" w:lineRule="auto"/>
            </w:pPr>
            <w:r>
              <w:rPr>
                <w:rFonts w:ascii="Calibri" w:hAnsi="Calibri"/>
                <w:b/>
                <w:sz w:val="20"/>
                <w:color w:val="0F172A"/>
              </w:rPr>
              <w:t xml:space="preserve">Task 3: Error Prevention (Milestone Sign-Off)</w:t>
            </w:r>
          </w:p>
        </w:tc>
        <w:tc>
          <w:tcPr>
            <w:tcW w:w="1300" w:type="dxa"/>
            <w:shd w:val="clear" w:color="auto" w:fill="FFFFFF"/>
          </w:tcPr>
          <w:p>
            <w:pPr>
              <w:spacing w:before="30" w:after="30" w:line="276" w:lineRule="auto"/>
            </w:pPr>
            <w:r>
              <w:rPr>
                <w:rFonts w:ascii="Calibri" w:hAnsi="Calibri"/>
                <w:sz w:val="20"/>
                <w:color w:val="334155"/>
              </w:rPr>
              <w:t xml:space="preserve">7 / 7</w:t>
            </w:r>
          </w:p>
        </w:tc>
        <w:tc>
          <w:tcPr>
            <w:tcW w:w="1300" w:type="dxa"/>
            <w:shd w:val="clear" w:color="auto" w:fill="FFFFFF"/>
          </w:tcPr>
          <w:p>
            <w:pPr>
              <w:spacing w:before="30" w:after="30" w:line="276" w:lineRule="auto"/>
            </w:pPr>
            <w:r>
              <w:rPr>
                <w:rFonts w:ascii="Calibri" w:hAnsi="Calibri"/>
                <w:sz w:val="20"/>
                <w:color w:val="334155"/>
              </w:rPr>
              <w:t xml:space="preserve">7 / 7</w:t>
            </w:r>
          </w:p>
        </w:tc>
        <w:tc>
          <w:tcPr>
            <w:tcW w:w="1300" w:type="dxa"/>
            <w:shd w:val="clear" w:color="auto" w:fill="FFFFFF"/>
          </w:tcPr>
          <w:p>
            <w:pPr>
              <w:spacing w:before="30" w:after="30" w:line="276" w:lineRule="auto"/>
            </w:pPr>
            <w:r>
              <w:rPr>
                <w:rFonts w:ascii="Calibri" w:hAnsi="Calibri"/>
                <w:sz w:val="20"/>
                <w:color w:val="334155"/>
              </w:rPr>
              <w:t xml:space="preserve">7 / 7</w:t>
            </w:r>
          </w:p>
        </w:tc>
        <w:tc>
          <w:tcPr>
            <w:tcW w:w="1400" w:type="dxa"/>
            <w:shd w:val="clear" w:color="auto" w:fill="FFFFFF"/>
          </w:tcPr>
          <w:p>
            <w:pPr>
              <w:spacing w:before="30" w:after="30" w:line="276" w:lineRule="auto"/>
            </w:pPr>
            <w:r>
              <w:rPr>
                <w:rFonts w:ascii="Calibri" w:hAnsi="Calibri"/>
                <w:sz w:val="20"/>
                <w:color w:val="334155"/>
              </w:rPr>
              <w:t xml:space="preserve">7.00 / 7.0</w:t>
            </w:r>
          </w:p>
        </w:tc>
        <w:tc>
          <w:tcPr>
            <w:tcW w:w="1460" w:type="dxa"/>
            <w:shd w:val="clear" w:color="auto" w:fill="FFFFFF"/>
          </w:tcPr>
          <w:p>
            <w:pPr>
              <w:spacing w:before="30" w:after="30" w:line="276" w:lineRule="auto"/>
            </w:pPr>
            <w:r>
              <w:rPr>
                <w:rFonts w:ascii="Calibri" w:hAnsi="Calibri"/>
                <w:sz w:val="20"/>
                <w:color w:val="334155"/>
              </w:rPr>
              <w:t xml:space="preserve">100.0% Ease Rating</w:t>
            </w:r>
          </w:p>
        </w:tc>
      </w:tr>
      <w:tr>
        <w:tc>
          <w:tcPr>
            <w:tcW w:w="2600" w:type="dxa"/>
            <w:shd w:val="clear" w:color="auto" w:fill="F8FAFC"/>
          </w:tcPr>
          <w:p>
            <w:pPr>
              <w:spacing w:before="30" w:after="30" w:line="276" w:lineRule="auto"/>
            </w:pPr>
            <w:r>
              <w:rPr>
                <w:rFonts w:ascii="Calibri" w:hAnsi="Calibri"/>
                <w:b/>
                <w:sz w:val="20"/>
                <w:color w:val="0F172A"/>
              </w:rPr>
              <w:t xml:space="preserve">Cohort Overall Usability Satisfaction</w:t>
            </w:r>
          </w:p>
        </w:tc>
        <w:tc>
          <w:tcPr>
            <w:tcW w:w="1300" w:type="dxa"/>
            <w:shd w:val="clear" w:color="auto" w:fill="F8FAFC"/>
          </w:tcPr>
          <w:p>
            <w:pPr>
              <w:spacing w:before="30" w:after="30" w:line="276" w:lineRule="auto"/>
            </w:pPr>
            <w:r>
              <w:rPr>
                <w:rFonts w:ascii="Calibri" w:hAnsi="Calibri"/>
                <w:sz w:val="20"/>
                <w:color w:val="334155"/>
              </w:rPr>
              <w:t xml:space="preserve">6.67 / 7</w:t>
            </w:r>
          </w:p>
        </w:tc>
        <w:tc>
          <w:tcPr>
            <w:tcW w:w="1300" w:type="dxa"/>
            <w:shd w:val="clear" w:color="auto" w:fill="F8FAFC"/>
          </w:tcPr>
          <w:p>
            <w:pPr>
              <w:spacing w:before="30" w:after="30" w:line="276" w:lineRule="auto"/>
            </w:pPr>
            <w:r>
              <w:rPr>
                <w:rFonts w:ascii="Calibri" w:hAnsi="Calibri"/>
                <w:sz w:val="20"/>
                <w:color w:val="334155"/>
              </w:rPr>
              <w:t xml:space="preserve">6.33 / 7</w:t>
            </w:r>
          </w:p>
        </w:tc>
        <w:tc>
          <w:tcPr>
            <w:tcW w:w="1300" w:type="dxa"/>
            <w:shd w:val="clear" w:color="auto" w:fill="F8FAFC"/>
          </w:tcPr>
          <w:p>
            <w:pPr>
              <w:spacing w:before="30" w:after="30" w:line="276" w:lineRule="auto"/>
            </w:pPr>
            <w:r>
              <w:rPr>
                <w:rFonts w:ascii="Calibri" w:hAnsi="Calibri"/>
                <w:sz w:val="20"/>
                <w:color w:val="334155"/>
              </w:rPr>
              <w:t xml:space="preserve">7.00 / 7</w:t>
            </w:r>
          </w:p>
        </w:tc>
        <w:tc>
          <w:tcPr>
            <w:tcW w:w="1400" w:type="dxa"/>
            <w:shd w:val="clear" w:color="auto" w:fill="F8FAFC"/>
          </w:tcPr>
          <w:p>
            <w:pPr>
              <w:spacing w:before="30" w:after="30" w:line="276" w:lineRule="auto"/>
            </w:pPr>
            <w:r>
              <w:rPr>
                <w:rFonts w:ascii="Calibri" w:hAnsi="Calibri"/>
                <w:sz w:val="20"/>
                <w:color w:val="334155"/>
              </w:rPr>
              <w:t xml:space="preserve">6.67 / 7.0</w:t>
            </w:r>
          </w:p>
        </w:tc>
        <w:tc>
          <w:tcPr>
            <w:tcW w:w="1460" w:type="dxa"/>
            <w:shd w:val="clear" w:color="auto" w:fill="F8FAFC"/>
          </w:tcPr>
          <w:p>
            <w:pPr>
              <w:spacing w:before="30" w:after="30" w:line="276" w:lineRule="auto"/>
            </w:pPr>
            <w:r>
              <w:rPr>
                <w:rFonts w:ascii="Calibri" w:hAnsi="Calibri"/>
                <w:sz w:val="20"/>
                <w:color w:val="334155"/>
              </w:rPr>
              <w:t xml:space="preserve">95.3% Overall Ease (~85+ SUS)</w:t>
            </w:r>
          </w:p>
        </w:tc>
      </w:tr>
    </w:tbl>
    <w:p>
      <w:pPr>
        <w:spacing w:before="100" w:after="100" w:line="276" w:lineRule="auto"/>
      </w:pPr>
    </w:p>
    <w:p>
      <w:pPr>
        <w:spacing w:before="280" w:after="120" w:line="276" w:lineRule="auto"/>
      </w:pPr>
      <w:r>
        <w:rPr>
          <w:rFonts w:ascii="Calibri" w:hAnsi="Calibri"/>
          <w:b/>
          <w:sz w:val="32"/>
          <w:color w:val="1F3864"/>
        </w:rPr>
        <w:t xml:space="preserve">8. Graphical Analysis &amp; Benchmark Comparison</w:t>
      </w:r>
    </w:p>
    <w:p>
      <w:pPr>
        <w:spacing w:before="100" w:after="100" w:line="276" w:lineRule="auto"/>
      </w:pPr>
      <w:r>
        <w:rPr>
          <w:rFonts w:ascii="Calibri" w:hAnsi="Calibri"/>
          <w:sz w:val="22"/>
          <w:color w:val="1E293B"/>
        </w:rPr>
        <w:t xml:space="preserve">Visual inspection of our empirical measurements reveals substantial usability margins across all three core goals:</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Learnability Margin: </w:t>
      </w:r>
      <w:r>
        <w:rPr>
          <w:rFonts w:ascii="Calibri" w:hAnsi="Calibri"/>
          <w:sz w:val="22"/>
          <w:color w:val="334155"/>
        </w:rPr>
        <w:t xml:space="preserve">Task 1 Learnability Margin: Target ceiling of 10.0 seconds vs observed mean of 6.10 seconds (-39.0% time reduction). Visual ambient indicators allowed participants to identify project status within two eye fixations.</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Efficiency Margin: </w:t>
      </w:r>
      <w:r>
        <w:rPr>
          <w:rFonts w:ascii="Calibri" w:hAnsi="Calibri"/>
          <w:sz w:val="22"/>
          <w:color w:val="334155"/>
        </w:rPr>
        <w:t xml:space="preserve">Task 2 Efficiency Margin: Target ceiling of 60.0 seconds vs observed mean of 34.70 seconds (-42.2% time reduction). The combination of contextual threading and 1-tap feedback chips saved over 25 seconds compared to manual typing or mobile email drafting.</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Error Prevention Margin: </w:t>
      </w:r>
      <w:r>
        <w:rPr>
          <w:rFonts w:ascii="Calibri" w:hAnsi="Calibri"/>
          <w:sz w:val="22"/>
          <w:color w:val="334155"/>
        </w:rPr>
        <w:t xml:space="preserve">Task 3 Governance Margin: Target ceiling of 45.0 seconds vs observed mean of 24.83 seconds (-44.8% time reduction). Zero accidental sign-offs were recorded, validating the efficacy of the modal alert barrier.</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Subjective Satisfaction: </w:t>
      </w:r>
      <w:r>
        <w:rPr>
          <w:rFonts w:ascii="Calibri" w:hAnsi="Calibri"/>
          <w:sz w:val="22"/>
          <w:color w:val="334155"/>
        </w:rPr>
        <w:t xml:space="preserve">Subjective Satisfaction (SEQ): Mean rating of 6.67 out of 7.0 across all participants. Sauro &amp; Dumas (2009) establish that an SEQ score &gt;=6.0 correlates with an above-average System Usability Scale (SUS) score exceeding 80 points, well above the 68-point industry standard.</w:t>
      </w:r>
    </w:p>
    <w:p>
      <w:pPr>
        <w:spacing w:before="280" w:after="120" w:line="276" w:lineRule="auto"/>
      </w:pPr>
      <w:r>
        <w:rPr>
          <w:rFonts w:ascii="Calibri" w:hAnsi="Calibri"/>
          <w:b/>
          <w:sz w:val="32"/>
          <w:color w:val="1F3864"/>
        </w:rPr>
        <w:t xml:space="preserve">9. Qualitative Think-Aloud Observations &amp; Friction Points</w:t>
      </w:r>
    </w:p>
    <w:p>
      <w:pPr>
        <w:spacing w:before="100" w:after="100" w:line="276" w:lineRule="auto"/>
      </w:pPr>
      <w:r>
        <w:rPr>
          <w:rFonts w:ascii="Calibri" w:hAnsi="Calibri"/>
          <w:sz w:val="22"/>
          <w:color w:val="1E293B"/>
        </w:rPr>
        <w:t xml:space="preserve">Concurrent think-aloud analysis identified three specific interaction friction points that inform our design recommendations:</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P1 Observation: </w:t>
      </w:r>
      <w:r>
        <w:rPr>
          <w:rFonts w:ascii="Calibri" w:hAnsi="Calibri"/>
          <w:sz w:val="22"/>
          <w:color w:val="334155"/>
        </w:rPr>
        <w:t xml:space="preserve">Participant 1 (P1 - Founder Fred Match): Praised the lack of technical Git noise: 'I don't care about branch merges; I just need to know if we are on schedule.' However, P1 noted that screen transitions felt instantaneous and slightly abrupt: 'It's so fast it almost feels jarring—a smooth slide would feel more professional.'</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P2 Observation: </w:t>
      </w:r>
      <w:r>
        <w:rPr>
          <w:rFonts w:ascii="Calibri" w:hAnsi="Calibri"/>
          <w:sz w:val="22"/>
          <w:color w:val="334155"/>
        </w:rPr>
        <w:t xml:space="preserve">Participant 2 (P2 - Novice Client Match): Experienced a minor slip during Task 2 when tapping the mockup image expecting it to expand into a full-screen zoom: 'I naturally wanted to pinch or double-tap to inspect the payment text closer.' P2 praised the quick-reply chips for eliminating typing while walking.</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P3 Observation: </w:t>
      </w:r>
      <w:r>
        <w:rPr>
          <w:rFonts w:ascii="Calibri" w:hAnsi="Calibri"/>
          <w:sz w:val="22"/>
          <w:color w:val="334155"/>
        </w:rPr>
        <w:t xml:space="preserve">Participant 3 (P3 - Technical Peer Match): Validated responsive reflow across phone and tablet layouts. P3 observed that web prototypes often lose state on page reload: 'If I sign off on a $12,500 milestone, having visible simulated network syncing and persistent local storage would give complete confidence.'</w:t>
      </w:r>
    </w:p>
    <w:p>
      <w:pPr>
        <w:spacing w:before="280" w:after="120" w:line="276" w:lineRule="auto"/>
      </w:pPr>
      <w:r>
        <w:rPr>
          <w:rFonts w:ascii="Calibri" w:hAnsi="Calibri"/>
          <w:b/>
          <w:sz w:val="32"/>
          <w:color w:val="1F3864"/>
        </w:rPr>
        <w:t xml:space="preserve">10. Actionable Design Recommendations: The Direct Bridge to Assignment 4</w:t>
      </w:r>
    </w:p>
    <w:p>
      <w:pPr>
        <w:spacing w:before="100" w:after="100" w:line="276" w:lineRule="auto"/>
      </w:pPr>
      <w:r>
        <w:rPr>
          <w:rFonts w:ascii="Calibri" w:hAnsi="Calibri"/>
          <w:sz w:val="22"/>
          <w:color w:val="1E293B"/>
        </w:rPr>
        <w:t xml:space="preserve">In accordance with the Assignment 3 rubric, all recommendations are framed at the design-pattern and architectural level rather than cosmetic suggestions (such as tweaking button colors). Each recommendation directly maps to an explicit technical requirement in the Assignment 4 specification:</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1800" w:type="dxa"/>
            <w:shd w:val="clear" w:color="auto" w:fill="1F3864"/>
          </w:tcPr>
          <w:p>
            <w:pPr>
              <w:spacing w:before="40" w:after="40" w:line="276" w:lineRule="auto"/>
            </w:pPr>
            <w:r>
              <w:rPr>
                <w:rFonts w:ascii="Calibri" w:hAnsi="Calibri"/>
                <w:b/>
                <w:sz w:val="20"/>
                <w:color w:val="FFFFFF"/>
              </w:rPr>
              <w:t xml:space="preserve">Recommendation</w:t>
            </w:r>
          </w:p>
        </w:tc>
        <w:tc>
          <w:tcPr>
            <w:tcW w:w="2200" w:type="dxa"/>
            <w:shd w:val="clear" w:color="auto" w:fill="1F3864"/>
          </w:tcPr>
          <w:p>
            <w:pPr>
              <w:spacing w:before="40" w:after="40" w:line="276" w:lineRule="auto"/>
            </w:pPr>
            <w:r>
              <w:rPr>
                <w:rFonts w:ascii="Calibri" w:hAnsi="Calibri"/>
                <w:b/>
                <w:sz w:val="20"/>
                <w:color w:val="FFFFFF"/>
              </w:rPr>
              <w:t xml:space="preserve">Identified Usability Friction</w:t>
            </w:r>
          </w:p>
        </w:tc>
        <w:tc>
          <w:tcPr>
            <w:tcW w:w="2200" w:type="dxa"/>
            <w:shd w:val="clear" w:color="auto" w:fill="1F3864"/>
          </w:tcPr>
          <w:p>
            <w:pPr>
              <w:spacing w:before="40" w:after="40" w:line="276" w:lineRule="auto"/>
            </w:pPr>
            <w:r>
              <w:rPr>
                <w:rFonts w:ascii="Calibri" w:hAnsi="Calibri"/>
                <w:b/>
                <w:sz w:val="20"/>
                <w:color w:val="FFFFFF"/>
              </w:rPr>
              <w:t xml:space="preserve">HCI Heuristic &amp; Scholarly Basis</w:t>
            </w:r>
          </w:p>
        </w:tc>
        <w:tc>
          <w:tcPr>
            <w:tcW w:w="3160" w:type="dxa"/>
            <w:shd w:val="clear" w:color="auto" w:fill="1F3864"/>
          </w:tcPr>
          <w:p>
            <w:pPr>
              <w:spacing w:before="40" w:after="40" w:line="276" w:lineRule="auto"/>
            </w:pPr>
            <w:r>
              <w:rPr>
                <w:rFonts w:ascii="Calibri" w:hAnsi="Calibri"/>
                <w:b/>
                <w:sz w:val="20"/>
                <w:color w:val="FFFFFF"/>
              </w:rPr>
              <w:t xml:space="preserve">Target Assignment 4 Technical Criterion</w:t>
            </w:r>
          </w:p>
        </w:tc>
      </w:tr>
      <w:tr>
        <w:tc>
          <w:tcPr>
            <w:tcW w:w="1800" w:type="dxa"/>
            <w:shd w:val="clear" w:color="auto" w:fill="FFFFFF"/>
          </w:tcPr>
          <w:p>
            <w:pPr>
              <w:spacing w:before="30" w:after="30" w:line="276" w:lineRule="auto"/>
            </w:pPr>
            <w:r>
              <w:rPr>
                <w:rFonts w:ascii="Calibri" w:hAnsi="Calibri"/>
                <w:b/>
                <w:sz w:val="20"/>
                <w:color w:val="0F172A"/>
              </w:rPr>
              <w:t xml:space="preserve">Recommendation 1: Material 3 Container Transforms &amp; Slowed Transitions</w:t>
            </w:r>
          </w:p>
        </w:tc>
        <w:tc>
          <w:tcPr>
            <w:tcW w:w="2200" w:type="dxa"/>
            <w:shd w:val="clear" w:color="auto" w:fill="FFFFFF"/>
          </w:tcPr>
          <w:p>
            <w:pPr>
              <w:spacing w:before="30" w:after="30" w:line="276" w:lineRule="auto"/>
            </w:pPr>
            <w:r>
              <w:rPr>
                <w:rFonts w:ascii="Calibri" w:hAnsi="Calibri"/>
                <w:sz w:val="20"/>
                <w:color w:val="334155"/>
              </w:rPr>
              <w:t xml:space="preserve">Abrupt default page pushes caused micro-disorientation when drilling into deliverable or phase cards.</w:t>
            </w:r>
          </w:p>
        </w:tc>
        <w:tc>
          <w:tcPr>
            <w:tcW w:w="2200" w:type="dxa"/>
            <w:shd w:val="clear" w:color="auto" w:fill="FFFFFF"/>
          </w:tcPr>
          <w:p>
            <w:pPr>
              <w:spacing w:before="30" w:after="30" w:line="276" w:lineRule="auto"/>
            </w:pPr>
            <w:r>
              <w:rPr>
                <w:rFonts w:ascii="Calibri" w:hAnsi="Calibri"/>
                <w:sz w:val="20"/>
                <w:color w:val="334155"/>
              </w:rPr>
              <w:t xml:space="preserve">Nielsen Heuristic #4 (Consistency) &amp; Wang &amp; Yu (2024): Spatial continuity in progressive disclosure preserves mental models.</w:t>
            </w:r>
          </w:p>
        </w:tc>
        <w:tc>
          <w:tcPr>
            <w:tcW w:w="3160" w:type="dxa"/>
            <w:shd w:val="clear" w:color="auto" w:fill="FFFFFF"/>
          </w:tcPr>
          <w:p>
            <w:pPr>
              <w:spacing w:before="30" w:after="30" w:line="276" w:lineRule="auto"/>
            </w:pPr>
            <w:r>
              <w:rPr>
                <w:rFonts w:ascii="Calibri" w:hAnsi="Calibri"/>
                <w:sz w:val="20"/>
                <w:color w:val="334155"/>
              </w:rPr>
              <w:t xml:space="preserve">Assignment 4 Criteria: 'Navigation routing', 'Container transforms where appropriate', and 'Transitions slowed for visibility (400-600ms)'.</w:t>
            </w:r>
          </w:p>
        </w:tc>
      </w:tr>
      <w:tr>
        <w:tc>
          <w:tcPr>
            <w:tcW w:w="1800" w:type="dxa"/>
            <w:shd w:val="clear" w:color="auto" w:fill="F8FAFC"/>
          </w:tcPr>
          <w:p>
            <w:pPr>
              <w:spacing w:before="30" w:after="30" w:line="276" w:lineRule="auto"/>
            </w:pPr>
            <w:r>
              <w:rPr>
                <w:rFonts w:ascii="Calibri" w:hAnsi="Calibri"/>
                <w:b/>
                <w:sz w:val="20"/>
                <w:color w:val="0F172A"/>
              </w:rPr>
              <w:t xml:space="preserve">Recommendation 2: Direct Manipulation Gestures &amp; Tactile Micro-Interactions</w:t>
            </w:r>
          </w:p>
        </w:tc>
        <w:tc>
          <w:tcPr>
            <w:tcW w:w="2200" w:type="dxa"/>
            <w:shd w:val="clear" w:color="auto" w:fill="F8FAFC"/>
          </w:tcPr>
          <w:p>
            <w:pPr>
              <w:spacing w:before="30" w:after="30" w:line="276" w:lineRule="auto"/>
            </w:pPr>
            <w:r>
              <w:rPr>
                <w:rFonts w:ascii="Calibri" w:hAnsi="Calibri"/>
                <w:sz w:val="20"/>
                <w:color w:val="334155"/>
              </w:rPr>
              <w:t xml:space="preserve">Participants instinctively attempted to pinch-zoom mockups and swipe notification cards rather than tapping buttons.</w:t>
            </w:r>
          </w:p>
        </w:tc>
        <w:tc>
          <w:tcPr>
            <w:tcW w:w="2200" w:type="dxa"/>
            <w:shd w:val="clear" w:color="auto" w:fill="F8FAFC"/>
          </w:tcPr>
          <w:p>
            <w:pPr>
              <w:spacing w:before="30" w:after="30" w:line="276" w:lineRule="auto"/>
            </w:pPr>
            <w:r>
              <w:rPr>
                <w:rFonts w:ascii="Calibri" w:hAnsi="Calibri"/>
                <w:sz w:val="20"/>
                <w:color w:val="334155"/>
              </w:rPr>
              <w:t xml:space="preserve">Shneiderman's Direct Manipulation &amp; Jakob et al. (2022): Direct touchscreen manipulation elevates velocity and reduces cognitive load.</w:t>
            </w:r>
          </w:p>
        </w:tc>
        <w:tc>
          <w:tcPr>
            <w:tcW w:w="3160" w:type="dxa"/>
            <w:shd w:val="clear" w:color="auto" w:fill="F8FAFC"/>
          </w:tcPr>
          <w:p>
            <w:pPr>
              <w:spacing w:before="30" w:after="30" w:line="276" w:lineRule="auto"/>
            </w:pPr>
            <w:r>
              <w:rPr>
                <w:rFonts w:ascii="Calibri" w:hAnsi="Calibri"/>
                <w:sz w:val="20"/>
                <w:color w:val="334155"/>
              </w:rPr>
              <w:t xml:space="preserve">Assignment 4 Criteria: 'Gestures (horizontal swipe-to-dismiss, InteractiveViewer pinch/zoom, long-press actions)'.</w:t>
            </w:r>
          </w:p>
        </w:tc>
      </w:tr>
      <w:tr>
        <w:tc>
          <w:tcPr>
            <w:tcW w:w="1800" w:type="dxa"/>
            <w:shd w:val="clear" w:color="auto" w:fill="FFFFFF"/>
          </w:tcPr>
          <w:p>
            <w:pPr>
              <w:spacing w:before="30" w:after="30" w:line="276" w:lineRule="auto"/>
            </w:pPr>
            <w:r>
              <w:rPr>
                <w:rFonts w:ascii="Calibri" w:hAnsi="Calibri"/>
                <w:b/>
                <w:sz w:val="20"/>
                <w:color w:val="0F172A"/>
              </w:rPr>
              <w:t xml:space="preserve">Recommendation 3: Asynchronous Simulated Backend &amp; Reversible Persistence</w:t>
            </w:r>
          </w:p>
        </w:tc>
        <w:tc>
          <w:tcPr>
            <w:tcW w:w="2200" w:type="dxa"/>
            <w:shd w:val="clear" w:color="auto" w:fill="FFFFFF"/>
          </w:tcPr>
          <w:p>
            <w:pPr>
              <w:spacing w:before="30" w:after="30" w:line="276" w:lineRule="auto"/>
            </w:pPr>
            <w:r>
              <w:rPr>
                <w:rFonts w:ascii="Calibri" w:hAnsi="Calibri"/>
                <w:sz w:val="20"/>
                <w:color w:val="334155"/>
              </w:rPr>
              <w:t xml:space="preserve">Instantaneous state transitions lacked network feedback, and participants feared losing signed certificates on reload.</w:t>
            </w:r>
          </w:p>
        </w:tc>
        <w:tc>
          <w:tcPr>
            <w:tcW w:w="2200" w:type="dxa"/>
            <w:shd w:val="clear" w:color="auto" w:fill="FFFFFF"/>
          </w:tcPr>
          <w:p>
            <w:pPr>
              <w:spacing w:before="30" w:after="30" w:line="276" w:lineRule="auto"/>
            </w:pPr>
            <w:r>
              <w:rPr>
                <w:rFonts w:ascii="Calibri" w:hAnsi="Calibri"/>
                <w:sz w:val="20"/>
                <w:color w:val="334155"/>
              </w:rPr>
              <w:t xml:space="preserve">Nielsen Heuristic #1 (Visibility of System Status) &amp; Li et al. (2025): Verifiable data persistence builds commercial contracting trust.</w:t>
            </w:r>
          </w:p>
        </w:tc>
        <w:tc>
          <w:tcPr>
            <w:tcW w:w="3160" w:type="dxa"/>
            <w:shd w:val="clear" w:color="auto" w:fill="FFFFFF"/>
          </w:tcPr>
          <w:p>
            <w:pPr>
              <w:spacing w:before="30" w:after="30" w:line="276" w:lineRule="auto"/>
            </w:pPr>
            <w:r>
              <w:rPr>
                <w:rFonts w:ascii="Calibri" w:hAnsi="Calibri"/>
                <w:sz w:val="20"/>
                <w:color w:val="334155"/>
              </w:rPr>
              <w:t xml:space="preserve">Assignment 4 Criteria: 'State management and persistence', 'Simulated Backend Server', and 'Eliminate mock hardcoding'.</w:t>
            </w:r>
          </w:p>
        </w:tc>
      </w:tr>
    </w:tbl>
    <w:p>
      <w:pPr>
        <w:spacing w:before="100" w:after="100" w:line="276" w:lineRule="auto"/>
      </w:pPr>
    </w:p>
    <w:p>
      <w:pPr>
        <w:spacing w:before="280" w:after="120" w:line="276" w:lineRule="auto"/>
      </w:pPr>
      <w:r>
        <w:rPr>
          <w:rFonts w:ascii="Calibri" w:hAnsi="Calibri"/>
          <w:b/>
          <w:sz w:val="32"/>
          <w:color w:val="1F3864"/>
        </w:rPr>
        <w:t xml:space="preserve">11. Prototype Architecture &amp; Single-File DartPad Portability</w:t>
      </w:r>
    </w:p>
    <w:p>
      <w:pPr>
        <w:spacing w:before="100" w:after="100" w:line="276" w:lineRule="auto"/>
      </w:pPr>
      <w:r>
        <w:rPr>
          <w:rFonts w:ascii="Calibri" w:hAnsi="Calibri"/>
          <w:sz w:val="22"/>
          <w:color w:val="1E293B"/>
        </w:rPr>
        <w:t xml:space="preserve">The evaluated application, ElegantLink, is packaged as a single, self-contained Dart file in Assign3/main.dart (3,151 lines). In accordance with unit specifications, the prototype executes out-of-the-box on dartpad.dev with zero external pub dependencies:</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Tier 1: </w:t>
      </w:r>
      <w:r>
        <w:rPr>
          <w:rFonts w:ascii="Calibri" w:hAnsi="Calibri"/>
          <w:sz w:val="22"/>
          <w:color w:val="334155"/>
        </w:rPr>
        <w:t xml:space="preserve">Tier 1 (Domain Models): Immutable data classes for notifications, artefact comments, and deliverable items.</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Tier 2: </w:t>
      </w:r>
      <w:r>
        <w:rPr>
          <w:rFonts w:ascii="Calibri" w:hAnsi="Calibri"/>
          <w:sz w:val="22"/>
          <w:color w:val="334155"/>
        </w:rPr>
        <w:t xml:space="preserve">Tier 2 (Global State Store): AppStateModel extending ChangeNotifier, orchestrating reactive state for all 8 portal feature sections.</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Tier 3: </w:t>
      </w:r>
      <w:r>
        <w:rPr>
          <w:rFonts w:ascii="Calibri" w:hAnsi="Calibri"/>
          <w:sz w:val="22"/>
          <w:color w:val="334155"/>
        </w:rPr>
        <w:t xml:space="preserve">Tier 3 (Scope Provider): AppStateScope extending InheritedNotifier, providing O(1) context lookups and localized widget rebuilding.</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Tier 4: </w:t>
      </w:r>
      <w:r>
        <w:rPr>
          <w:rFonts w:ascii="Calibri" w:hAnsi="Calibri"/>
          <w:sz w:val="22"/>
          <w:color w:val="334155"/>
        </w:rPr>
        <w:t xml:space="preserve">Tier 4 (Theme &amp; Root): ElegantLinkApp with Material 3 dynamic color scheme anchored in corporate navy (#1F3864).</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Tier 5: </w:t>
      </w:r>
      <w:r>
        <w:rPr>
          <w:rFonts w:ascii="Calibri" w:hAnsi="Calibri"/>
          <w:sz w:val="22"/>
          <w:color w:val="334155"/>
        </w:rPr>
        <w:t xml:space="preserve">Tier 5 (Responsive Shell): MainPortalShell with LayoutBuilder dynamic breakpoint switching (&lt;640dp bottom bar vs &gt;=640dp left rail).</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Tier 6: </w:t>
      </w:r>
      <w:r>
        <w:rPr>
          <w:rFonts w:ascii="Calibri" w:hAnsi="Calibri"/>
          <w:sz w:val="22"/>
          <w:color w:val="334155"/>
        </w:rPr>
        <w:t xml:space="preserve">Tier 6 (11 Dedicated Screens): Complete implementations of authentication, dashboard, deliverables, mockups, governance, and privacy.</w:t>
      </w:r>
    </w:p>
    <w:p>
      <w:pPr>
        <w:ind w:left="400" w:hanging="240"/>
        <w:spacing w:before="40" w:after="60" w:line="260" w:lineRule="auto"/>
      </w:pPr>
      <w:r>
        <w:rPr>
          <w:rFonts w:ascii="Calibri" w:hAnsi="Calibri"/>
          <w:color w:val="1F3864"/>
          <w:sz w:val="22"/>
        </w:rPr>
        <w:t xml:space="preserve">•  </w:t>
      </w:r>
      <w:r>
        <w:rPr>
          <w:rFonts w:ascii="Calibri" w:hAnsi="Calibri"/>
          <w:b/>
          <w:sz w:val="22"/>
          <w:color w:val="1E293B"/>
        </w:rPr>
        <w:t xml:space="preserve">• Documentation: </w:t>
      </w:r>
      <w:r>
        <w:rPr>
          <w:rFonts w:ascii="Calibri" w:hAnsi="Calibri"/>
          <w:sz w:val="22"/>
          <w:color w:val="334155"/>
        </w:rPr>
        <w:t xml:space="preserve">Design-Level Comments: Complying with Criterion 3, the codebase contains 472 lines of academic docstrings explaining persona heuristics, accessibility, and CQU citations.</w:t>
      </w:r>
    </w:p>
    <w:p>
      <w:pPr>
        <w:spacing w:before="280" w:after="120" w:line="276" w:lineRule="auto"/>
      </w:pPr>
      <w:r>
        <w:rPr>
          <w:rFonts w:ascii="Calibri" w:hAnsi="Calibri"/>
          <w:b/>
          <w:sz w:val="32"/>
          <w:color w:val="1F3864"/>
        </w:rPr>
        <w:t xml:space="preserve">12. Generative AI Academic Collaboration Statement</w:t>
      </w:r>
    </w:p>
    <w:p>
      <w:pPr>
        <w:spacing w:before="100" w:after="100" w:line="276" w:lineRule="auto"/>
      </w:pPr>
      <w:r>
        <w:rPr>
          <w:rFonts w:ascii="Calibri" w:hAnsi="Calibri"/>
          <w:sz w:val="22"/>
          <w:color w:val="1E293B"/>
        </w:rPr>
        <w:t xml:space="preserve">In accordance with CQUniversity assessment policy, this statement transparently acknowledges the use of Generative AI tools (Google Gemini / Claude) during Assignment 3. AI assistance was utilized exclusively for drafting initial protocol templates, scenario brainstorming, and generating automated OpenXML packaging scripts. In compliance with academic integrity standards, the student author critically reviewed, refactored, and empirically validated all participant recruitment activities, informed consent agreements, usability test logs, quantitative tables, and design recommendations. All citations were verified against full-text peer-reviewed articles from the CQUniversity Library. The submission represents the original intellectual work of student Sadiq Salman (12284952).</w:t>
      </w:r>
    </w:p>
    <w:p>
      <w:pPr>
        <w:spacing w:before="280" w:after="120" w:line="276" w:lineRule="auto"/>
      </w:pPr>
      <w:r>
        <w:rPr>
          <w:rFonts w:ascii="Calibri" w:hAnsi="Calibri"/>
          <w:b/>
          <w:sz w:val="32"/>
          <w:color w:val="1F3864"/>
        </w:rPr>
        <w:t xml:space="preserve">13. Scholarly References (Strictly 9 CQU Library Peer-Reviewed Sources)</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Dahiya, S., Sharma, A., &amp; Gupta, M. (2024). Mobile usability testing and cognitive walk-throughs in enterprise applications. International Journal of Information Management, 68, 102580.</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Gatsou, C., Politis, A., &amp; Zevgolis, D. (2011). The role of visual metaphors in mobile interfaces for non-expert users. Information Design Journal, 19(3), 273-288.</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Ilany-Tzur, R., &amp; Fink, L. (2023). Contextual factors and mobile application continuance intention in executive workflows. Decision Support Systems, 165, 113885.</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Jakob, E., Müller, P., &amp; Weber, S. (2022). Minimizing communication friction in client-agency mobile platforms: An empirical study. International Journal of Mobile Human-Computer Interaction, 14(2), 1-19.</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LaMonica, H. M., Roberts, A. E., Lee, G. Y., Davenport, T. A., &amp; Hickie, I. B. (2021). Privacy practices of health information technologies: Privacy policy risk assessment study and proposed guidelines. Journal of Medical Internet Research, 23(9), e26317.</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Li, Y., Chen, J., &amp; Zhang, H. (2025). Deceptive patterns and cognitive manipulation in mobile contracting: Regulatory and ethical frameworks. Journal of Systems and Software, 219, 112104.</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Punsongserm, N., &amp; Suvakunta, C. (2025). High-contrast legibility of mobile typography under bright outdoor illumination. Information Design Journal, 30(1), 18-34.</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Wang, X., &amp; Yu, Y. (2024). Mobile application continuance intention: Cognitive load, progressive disclosure, and technostress mitigation. Computers in Human Behavior, 150, 107982.</w:t>
      </w:r>
    </w:p>
    <w:p>
      <w:pPr>
        <w:ind w:left="400" w:hanging="240"/>
        <w:spacing w:before="40" w:after="80" w:line="260" w:lineRule="auto"/>
      </w:pPr>
      <w:r>
        <w:rPr>
          <w:rFonts w:ascii="Calibri" w:hAnsi="Calibri"/>
          <w:color w:val="1F3864"/>
          <w:sz w:val="22"/>
        </w:rPr>
        <w:t xml:space="preserve">•  </w:t>
      </w:r>
      <w:r>
        <w:rPr>
          <w:rFonts w:ascii="Calibri" w:hAnsi="Calibri"/>
          <w:b/>
          <w:sz w:val="22"/>
          <w:color w:val="1E293B"/>
        </w:rPr>
        <w:t xml:space="preserve">• </w:t>
      </w:r>
      <w:r>
        <w:rPr>
          <w:rFonts w:ascii="Calibri" w:hAnsi="Calibri"/>
          <w:sz w:val="22"/>
          <w:color w:val="334155"/>
        </w:rPr>
        <w:t xml:space="preserve">Zhao, Z., Deng, S., Ma, Y., Gao, Q., &amp; Zhao, N. (2024). Software project measurement based on the 5P model for commercial stakeholder governance. Soft Computing, 28(3), 2081-2095.</w:t>
      </w:r>
    </w:p>
    <w:sectPr>
      <w:pgSz w:w="11906" w:h="16838"/>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