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5FB7" w14:textId="078CAE68" w:rsidR="00EC02C8" w:rsidRPr="00FD17BB" w:rsidRDefault="00400E9E" w:rsidP="00400E9E">
      <w:pPr>
        <w:jc w:val="center"/>
        <w:rPr>
          <w:rFonts w:ascii="Verdana" w:hAnsi="Verdana"/>
          <w:b/>
          <w:sz w:val="30"/>
          <w:szCs w:val="30"/>
        </w:rPr>
      </w:pPr>
      <w:r w:rsidRPr="00FD17BB">
        <w:rPr>
          <w:rFonts w:ascii="Verdana" w:hAnsi="Verdana"/>
          <w:b/>
          <w:sz w:val="30"/>
          <w:szCs w:val="30"/>
        </w:rPr>
        <w:t xml:space="preserve">DRMS </w:t>
      </w:r>
      <w:r w:rsidR="00EC02C8" w:rsidRPr="00FD17BB">
        <w:rPr>
          <w:rFonts w:ascii="Verdana" w:hAnsi="Verdana"/>
          <w:b/>
          <w:sz w:val="30"/>
          <w:szCs w:val="30"/>
        </w:rPr>
        <w:t>M</w:t>
      </w:r>
      <w:r w:rsidR="00FD17BB" w:rsidRPr="00FD17BB">
        <w:rPr>
          <w:rFonts w:ascii="Verdana" w:hAnsi="Verdana"/>
          <w:b/>
          <w:sz w:val="30"/>
          <w:szCs w:val="30"/>
        </w:rPr>
        <w:t>EMO</w:t>
      </w:r>
    </w:p>
    <w:p w14:paraId="156FD323" w14:textId="77777777" w:rsidR="00EC02C8" w:rsidRPr="00E67E7E" w:rsidRDefault="00EC02C8" w:rsidP="001329B3">
      <w:pPr>
        <w:jc w:val="both"/>
        <w:rPr>
          <w:rFonts w:ascii="Verdana" w:hAnsi="Verdana"/>
        </w:rPr>
      </w:pPr>
    </w:p>
    <w:p w14:paraId="6E7157EE" w14:textId="41031A1B" w:rsidR="00EC02C8" w:rsidRPr="00E67E7E" w:rsidRDefault="005C2978" w:rsidP="00400E9E">
      <w:pPr>
        <w:tabs>
          <w:tab w:val="left" w:pos="1467"/>
          <w:tab w:val="left" w:pos="1980"/>
        </w:tabs>
        <w:jc w:val="both"/>
        <w:rPr>
          <w:rFonts w:ascii="Verdana" w:hAnsi="Verdana"/>
        </w:rPr>
      </w:pPr>
      <w:r w:rsidRPr="00E67E7E">
        <w:rPr>
          <w:rFonts w:ascii="Verdana" w:hAnsi="Verdana"/>
        </w:rPr>
        <w:t>Date</w:t>
      </w:r>
      <w:r w:rsidR="00101EBA">
        <w:rPr>
          <w:rFonts w:ascii="Verdana" w:hAnsi="Verdana"/>
        </w:rPr>
        <w:tab/>
      </w:r>
      <w:r w:rsidRPr="00E67E7E">
        <w:rPr>
          <w:rFonts w:ascii="Verdana" w:hAnsi="Verdana"/>
        </w:rPr>
        <w:t>:</w:t>
      </w:r>
      <w:r w:rsidR="00101EBA">
        <w:rPr>
          <w:rFonts w:ascii="Verdana" w:hAnsi="Verdana"/>
        </w:rPr>
        <w:tab/>
      </w:r>
      <w:r w:rsidR="00131C5D">
        <w:rPr>
          <w:rFonts w:ascii="Verdana" w:hAnsi="Verdana"/>
        </w:rPr>
        <w:t>31</w:t>
      </w:r>
      <w:r w:rsidR="00FB3A25">
        <w:rPr>
          <w:rFonts w:ascii="Verdana" w:hAnsi="Verdana"/>
        </w:rPr>
        <w:t xml:space="preserve"> </w:t>
      </w:r>
      <w:r w:rsidR="00131C5D">
        <w:rPr>
          <w:rFonts w:ascii="Verdana" w:hAnsi="Verdana"/>
        </w:rPr>
        <w:t>Janu</w:t>
      </w:r>
      <w:r w:rsidR="00287EFC">
        <w:rPr>
          <w:rFonts w:ascii="Verdana" w:hAnsi="Verdana"/>
        </w:rPr>
        <w:t>ary</w:t>
      </w:r>
      <w:r w:rsidR="00FB3A25">
        <w:rPr>
          <w:rFonts w:ascii="Verdana" w:hAnsi="Verdana"/>
        </w:rPr>
        <w:t xml:space="preserve"> 202</w:t>
      </w:r>
      <w:r w:rsidR="00400E9E">
        <w:rPr>
          <w:rFonts w:ascii="Verdana" w:hAnsi="Verdana"/>
        </w:rPr>
        <w:t>2</w:t>
      </w:r>
    </w:p>
    <w:p w14:paraId="0225DE10" w14:textId="2F0D5853" w:rsidR="00EC02C8" w:rsidRPr="00400E9E" w:rsidRDefault="007A5F3F" w:rsidP="00400E9E">
      <w:pPr>
        <w:tabs>
          <w:tab w:val="left" w:pos="1170"/>
        </w:tabs>
        <w:autoSpaceDE w:val="0"/>
        <w:autoSpaceDN w:val="0"/>
        <w:adjustRightInd w:val="0"/>
        <w:ind w:left="990" w:hanging="990"/>
        <w:jc w:val="both"/>
        <w:rPr>
          <w:rFonts w:ascii="Verdana" w:hAnsi="Verdana"/>
          <w:b/>
        </w:rPr>
      </w:pPr>
      <w:r w:rsidRPr="00E67E7E">
        <w:rPr>
          <w:rFonts w:ascii="Verdana" w:hAnsi="Verdana"/>
        </w:rPr>
        <w:t>Client</w:t>
      </w:r>
      <w:r w:rsidR="00101EBA">
        <w:rPr>
          <w:rFonts w:ascii="Verdana" w:hAnsi="Verdana"/>
        </w:rPr>
        <w:tab/>
      </w:r>
      <w:r w:rsidR="00101EBA">
        <w:rPr>
          <w:rFonts w:ascii="Verdana" w:hAnsi="Verdana"/>
        </w:rPr>
        <w:tab/>
      </w:r>
      <w:r w:rsidR="00101EBA">
        <w:rPr>
          <w:rFonts w:ascii="Verdana" w:hAnsi="Verdana"/>
        </w:rPr>
        <w:tab/>
      </w:r>
      <w:r w:rsidR="00EC02C8" w:rsidRPr="00E67E7E">
        <w:rPr>
          <w:rFonts w:ascii="Verdana" w:hAnsi="Verdana"/>
        </w:rPr>
        <w:t xml:space="preserve">: </w:t>
      </w:r>
      <w:r w:rsidR="009C37BF" w:rsidRPr="00E67E7E">
        <w:rPr>
          <w:rFonts w:ascii="Verdana" w:hAnsi="Verdana"/>
        </w:rPr>
        <w:t xml:space="preserve">    </w:t>
      </w:r>
      <w:r w:rsidR="006B4FDE" w:rsidRPr="006B4FDE">
        <w:rPr>
          <w:rFonts w:ascii="Verdana" w:hAnsi="Verdana"/>
        </w:rPr>
        <w:t>Cosmopolitan Industries (Pvt.) Limited (CIPL)</w:t>
      </w:r>
    </w:p>
    <w:p w14:paraId="01C4AA8A" w14:textId="65BCC9DE" w:rsidR="00EC02C8" w:rsidRDefault="00EC02C8" w:rsidP="004D2EC9">
      <w:pPr>
        <w:tabs>
          <w:tab w:val="left" w:pos="1467"/>
          <w:tab w:val="left" w:pos="1980"/>
        </w:tabs>
        <w:ind w:left="1980" w:hanging="1980"/>
        <w:jc w:val="both"/>
        <w:rPr>
          <w:rFonts w:ascii="Verdana" w:hAnsi="Verdana"/>
        </w:rPr>
      </w:pPr>
      <w:r w:rsidRPr="00E67E7E">
        <w:rPr>
          <w:rFonts w:ascii="Verdana" w:hAnsi="Verdana"/>
        </w:rPr>
        <w:t>Subject</w:t>
      </w:r>
      <w:r w:rsidR="00101EBA">
        <w:rPr>
          <w:rFonts w:ascii="Verdana" w:hAnsi="Verdana"/>
        </w:rPr>
        <w:tab/>
      </w:r>
      <w:r w:rsidRPr="00E67E7E">
        <w:rPr>
          <w:rFonts w:ascii="Verdana" w:hAnsi="Verdana"/>
        </w:rPr>
        <w:t xml:space="preserve">:   </w:t>
      </w:r>
      <w:r w:rsidR="00101EBA">
        <w:rPr>
          <w:rFonts w:ascii="Verdana" w:hAnsi="Verdana"/>
        </w:rPr>
        <w:tab/>
      </w:r>
      <w:r w:rsidRPr="00E67E7E">
        <w:rPr>
          <w:rFonts w:ascii="Verdana" w:hAnsi="Verdana"/>
        </w:rPr>
        <w:t>Classification of Engagement Risk</w:t>
      </w:r>
      <w:r w:rsidR="004D2EC9">
        <w:rPr>
          <w:rFonts w:ascii="Verdana" w:hAnsi="Verdana"/>
        </w:rPr>
        <w:t xml:space="preserve"> for the audit of financial statements for the year ended 30 June 2022</w:t>
      </w:r>
    </w:p>
    <w:p w14:paraId="011E321B" w14:textId="40536A82" w:rsidR="003A4B32" w:rsidRDefault="003A4B32" w:rsidP="00101EBA">
      <w:pPr>
        <w:tabs>
          <w:tab w:val="left" w:pos="1467"/>
          <w:tab w:val="left" w:pos="1980"/>
        </w:tabs>
        <w:jc w:val="both"/>
        <w:rPr>
          <w:rFonts w:ascii="Verdana" w:hAnsi="Verdana"/>
        </w:rPr>
      </w:pPr>
      <w:r>
        <w:rPr>
          <w:rFonts w:ascii="Verdana" w:hAnsi="Verdana"/>
        </w:rPr>
        <w:t>Prepared by:</w:t>
      </w:r>
      <w:r>
        <w:rPr>
          <w:rFonts w:ascii="Verdana" w:hAnsi="Verdana"/>
        </w:rPr>
        <w:tab/>
        <w:t>Salauddin Morshed</w:t>
      </w:r>
    </w:p>
    <w:p w14:paraId="54A1F31F" w14:textId="2ED67AEE" w:rsidR="003A4B32" w:rsidRPr="00E67E7E" w:rsidRDefault="003A4B32" w:rsidP="00101EBA">
      <w:pPr>
        <w:tabs>
          <w:tab w:val="left" w:pos="1467"/>
          <w:tab w:val="left" w:pos="1980"/>
        </w:tabs>
        <w:jc w:val="both"/>
        <w:rPr>
          <w:rFonts w:ascii="Verdana" w:hAnsi="Verdana"/>
        </w:rPr>
      </w:pPr>
      <w:r>
        <w:rPr>
          <w:rFonts w:ascii="Verdana" w:hAnsi="Verdana"/>
        </w:rPr>
        <w:t>Reviewed by:    Faruk Uddin Ahammed</w:t>
      </w:r>
    </w:p>
    <w:p w14:paraId="70CF0F61" w14:textId="77777777" w:rsidR="00EC02C8" w:rsidRPr="00400E9E" w:rsidRDefault="00EC02C8" w:rsidP="001329B3">
      <w:pPr>
        <w:pBdr>
          <w:bottom w:val="single" w:sz="12" w:space="1" w:color="auto"/>
        </w:pBdr>
        <w:jc w:val="both"/>
        <w:rPr>
          <w:rFonts w:ascii="Verdana" w:hAnsi="Verdana"/>
          <w:sz w:val="4"/>
          <w:szCs w:val="4"/>
        </w:rPr>
      </w:pPr>
    </w:p>
    <w:p w14:paraId="528DE342" w14:textId="77777777" w:rsidR="00EC02C8" w:rsidRPr="00E67E7E" w:rsidRDefault="00EC02C8" w:rsidP="001329B3">
      <w:pPr>
        <w:jc w:val="both"/>
        <w:rPr>
          <w:rFonts w:ascii="Verdana" w:hAnsi="Verdana"/>
        </w:rPr>
      </w:pPr>
    </w:p>
    <w:p w14:paraId="28544A3F" w14:textId="3FECF5B8" w:rsidR="00EC02C8" w:rsidRPr="00E67E7E" w:rsidRDefault="00EC02C8" w:rsidP="001329B3">
      <w:pPr>
        <w:jc w:val="both"/>
        <w:rPr>
          <w:rFonts w:ascii="Verdana" w:hAnsi="Verdana"/>
          <w:b/>
          <w:u w:val="single"/>
        </w:rPr>
      </w:pPr>
      <w:r w:rsidRPr="00E67E7E">
        <w:rPr>
          <w:rFonts w:ascii="Verdana" w:hAnsi="Verdana"/>
          <w:b/>
          <w:u w:val="single"/>
        </w:rPr>
        <w:t xml:space="preserve">About the </w:t>
      </w:r>
      <w:r w:rsidR="00287EFC">
        <w:rPr>
          <w:rFonts w:ascii="Verdana" w:hAnsi="Verdana"/>
          <w:b/>
          <w:u w:val="single"/>
        </w:rPr>
        <w:t>Company</w:t>
      </w:r>
      <w:r w:rsidRPr="00E67E7E">
        <w:rPr>
          <w:rFonts w:ascii="Verdana" w:hAnsi="Verdana"/>
          <w:b/>
          <w:u w:val="single"/>
        </w:rPr>
        <w:t>:</w:t>
      </w:r>
    </w:p>
    <w:p w14:paraId="44B1229C" w14:textId="77777777" w:rsidR="00EC02C8" w:rsidRPr="00E67E7E" w:rsidRDefault="00EC02C8" w:rsidP="001329B3">
      <w:pPr>
        <w:jc w:val="both"/>
        <w:rPr>
          <w:rFonts w:ascii="Verdana" w:hAnsi="Verdana"/>
          <w:b/>
          <w:u w:val="single"/>
        </w:rPr>
      </w:pPr>
    </w:p>
    <w:p w14:paraId="4420F7BB" w14:textId="470F0703" w:rsidR="00093DE2" w:rsidRDefault="006B4FDE" w:rsidP="00433A24">
      <w:pPr>
        <w:jc w:val="both"/>
        <w:rPr>
          <w:rFonts w:ascii="Verdana" w:hAnsi="Verdana"/>
        </w:rPr>
      </w:pPr>
      <w:r w:rsidRPr="006B4FDE">
        <w:rPr>
          <w:rFonts w:ascii="Verdana" w:hAnsi="Verdana"/>
        </w:rPr>
        <w:t>Cosmopolitan Industries (Pvt.) Limited (here-in-after referred to as the "Company" or "CIPL") was incorporated in Dhaka, Bangladesh on 26 June 2005 as a private limited company under the Companies Act, 1994. The registered office of the Company is situated at House # 17, Road # 15, Sector # 03, Rabindra Swarani, Uttara, Dhaka. The Company is a subsidiary of Epic Designers Ltd., Hong Kong.</w:t>
      </w:r>
    </w:p>
    <w:p w14:paraId="268CE8CA" w14:textId="77777777" w:rsidR="006B4FDE" w:rsidRDefault="006B4FDE" w:rsidP="00433A24">
      <w:pPr>
        <w:jc w:val="both"/>
        <w:rPr>
          <w:rFonts w:ascii="Verdana" w:hAnsi="Verdana"/>
        </w:rPr>
      </w:pPr>
    </w:p>
    <w:p w14:paraId="245E56F4" w14:textId="1E5D8BCF" w:rsidR="005A6D9C" w:rsidRDefault="006B4FDE" w:rsidP="00433A24">
      <w:pPr>
        <w:jc w:val="both"/>
        <w:rPr>
          <w:rFonts w:ascii="Verdana" w:hAnsi="Verdana"/>
        </w:rPr>
      </w:pPr>
      <w:r w:rsidRPr="006B4FDE">
        <w:rPr>
          <w:rFonts w:ascii="Verdana" w:hAnsi="Verdana"/>
        </w:rPr>
        <w:t xml:space="preserve">CIPL is a 100% </w:t>
      </w:r>
      <w:r w:rsidR="00EA2CEA" w:rsidRPr="006B4FDE">
        <w:rPr>
          <w:rFonts w:ascii="Verdana" w:hAnsi="Verdana"/>
        </w:rPr>
        <w:t>export-oriented</w:t>
      </w:r>
      <w:r w:rsidRPr="006B4FDE">
        <w:rPr>
          <w:rFonts w:ascii="Verdana" w:hAnsi="Verdana"/>
        </w:rPr>
        <w:t xml:space="preserve"> garments manufacturing company engaged in the production and export of its products to the international markets. The Company is in operation with two units namely Washing and Garments unit. The Washing unit commenced its commercial operations from 31 August 2006 for automatic washing of all kinds of garments</w:t>
      </w:r>
      <w:r w:rsidR="00E734EA">
        <w:rPr>
          <w:rFonts w:ascii="Verdana" w:hAnsi="Verdana"/>
        </w:rPr>
        <w:t xml:space="preserve"> </w:t>
      </w:r>
      <w:r w:rsidRPr="006B4FDE">
        <w:rPr>
          <w:rFonts w:ascii="Verdana" w:hAnsi="Verdana"/>
        </w:rPr>
        <w:t xml:space="preserve">and the Garments unit commenced its commercial operation from 01 November 2006 </w:t>
      </w:r>
      <w:proofErr w:type="gramStart"/>
      <w:r w:rsidRPr="006B4FDE">
        <w:rPr>
          <w:rFonts w:ascii="Verdana" w:hAnsi="Verdana"/>
        </w:rPr>
        <w:t>for</w:t>
      </w:r>
      <w:r w:rsidR="009D2157">
        <w:rPr>
          <w:rFonts w:ascii="Verdana" w:hAnsi="Verdana"/>
        </w:rPr>
        <w:t xml:space="preserve"> </w:t>
      </w:r>
      <w:r w:rsidRPr="006B4FDE">
        <w:rPr>
          <w:rFonts w:ascii="Verdana" w:hAnsi="Verdana"/>
        </w:rPr>
        <w:t>the production of</w:t>
      </w:r>
      <w:proofErr w:type="gramEnd"/>
      <w:r w:rsidRPr="006B4FDE">
        <w:rPr>
          <w:rFonts w:ascii="Verdana" w:hAnsi="Verdana"/>
        </w:rPr>
        <w:t xml:space="preserve"> </w:t>
      </w:r>
      <w:r w:rsidR="00E734EA" w:rsidRPr="006B4FDE">
        <w:rPr>
          <w:rFonts w:ascii="Verdana" w:hAnsi="Verdana"/>
        </w:rPr>
        <w:t>ready-made</w:t>
      </w:r>
      <w:r w:rsidRPr="006B4FDE">
        <w:rPr>
          <w:rFonts w:ascii="Verdana" w:hAnsi="Verdana"/>
        </w:rPr>
        <w:t xml:space="preserve"> garments</w:t>
      </w:r>
      <w:r w:rsidR="002B35F0">
        <w:rPr>
          <w:rFonts w:ascii="Verdana" w:hAnsi="Verdana"/>
        </w:rPr>
        <w:t xml:space="preserve">. </w:t>
      </w:r>
    </w:p>
    <w:p w14:paraId="5F603E27" w14:textId="77777777" w:rsidR="005A6D9C" w:rsidRPr="005A6D9C" w:rsidRDefault="005A6D9C" w:rsidP="005A6D9C">
      <w:pPr>
        <w:jc w:val="both"/>
        <w:rPr>
          <w:rFonts w:ascii="Verdana" w:hAnsi="Verdana"/>
        </w:rPr>
      </w:pPr>
    </w:p>
    <w:p w14:paraId="620DFC41" w14:textId="5A737C27" w:rsidR="005A6D9C" w:rsidRPr="00287EFC" w:rsidRDefault="005A6D9C" w:rsidP="005A6D9C">
      <w:pPr>
        <w:jc w:val="both"/>
        <w:rPr>
          <w:rFonts w:ascii="Verdana" w:hAnsi="Verdana"/>
          <w:b/>
          <w:u w:val="single"/>
        </w:rPr>
      </w:pPr>
      <w:r w:rsidRPr="00287EFC">
        <w:rPr>
          <w:rFonts w:ascii="Verdana" w:hAnsi="Verdana"/>
          <w:b/>
          <w:u w:val="single"/>
        </w:rPr>
        <w:t xml:space="preserve">Representative Office of the </w:t>
      </w:r>
      <w:r w:rsidR="00287EFC" w:rsidRPr="00287EFC">
        <w:rPr>
          <w:rFonts w:ascii="Verdana" w:hAnsi="Verdana"/>
          <w:b/>
          <w:u w:val="single"/>
        </w:rPr>
        <w:t>Company:</w:t>
      </w:r>
    </w:p>
    <w:p w14:paraId="1B6EC594" w14:textId="77777777" w:rsidR="00287EFC" w:rsidRPr="005A6D9C" w:rsidRDefault="00287EFC" w:rsidP="005A6D9C">
      <w:pPr>
        <w:jc w:val="both"/>
        <w:rPr>
          <w:rFonts w:ascii="Verdana" w:hAnsi="Verdana"/>
          <w:b/>
        </w:rPr>
      </w:pPr>
    </w:p>
    <w:p w14:paraId="40D5E02C" w14:textId="71E5A8F4" w:rsidR="005A6D9C" w:rsidRDefault="005A6D9C" w:rsidP="005A6D9C">
      <w:pPr>
        <w:jc w:val="both"/>
        <w:rPr>
          <w:rFonts w:ascii="Verdana" w:hAnsi="Verdana"/>
        </w:rPr>
      </w:pPr>
      <w:r w:rsidRPr="005A6D9C">
        <w:rPr>
          <w:rFonts w:ascii="Verdana" w:hAnsi="Verdana"/>
        </w:rPr>
        <w:t xml:space="preserve">The </w:t>
      </w:r>
      <w:r w:rsidR="00287EFC">
        <w:rPr>
          <w:rFonts w:ascii="Verdana" w:hAnsi="Verdana"/>
        </w:rPr>
        <w:t xml:space="preserve">Company has corporate office </w:t>
      </w:r>
      <w:r w:rsidR="009B50FA">
        <w:rPr>
          <w:rFonts w:ascii="Verdana" w:hAnsi="Verdana"/>
        </w:rPr>
        <w:t xml:space="preserve">located at </w:t>
      </w:r>
      <w:r w:rsidR="00287EFC" w:rsidRPr="00287EFC">
        <w:rPr>
          <w:rFonts w:ascii="Verdana" w:hAnsi="Verdana"/>
        </w:rPr>
        <w:t>House 17, Road 15, Sector 3, Rabindra Swarani, Uttara, Dhaka-1230, Bangladesh</w:t>
      </w:r>
      <w:r w:rsidR="00287EFC">
        <w:rPr>
          <w:rFonts w:ascii="Verdana" w:hAnsi="Verdana"/>
        </w:rPr>
        <w:t>.</w:t>
      </w:r>
    </w:p>
    <w:p w14:paraId="08D81612" w14:textId="4EDC60E9" w:rsidR="002B574F" w:rsidRPr="00E67E7E" w:rsidRDefault="002B574F" w:rsidP="001329B3">
      <w:pPr>
        <w:jc w:val="both"/>
        <w:rPr>
          <w:rFonts w:ascii="Verdana" w:hAnsi="Verdana"/>
        </w:rPr>
      </w:pPr>
    </w:p>
    <w:p w14:paraId="50717B52" w14:textId="77777777" w:rsidR="00EC02C8" w:rsidRPr="00E67E7E" w:rsidRDefault="00EC02C8" w:rsidP="001329B3">
      <w:pPr>
        <w:jc w:val="both"/>
        <w:rPr>
          <w:rFonts w:ascii="Verdana" w:hAnsi="Verdana"/>
          <w:b/>
          <w:u w:val="single"/>
        </w:rPr>
      </w:pPr>
      <w:r w:rsidRPr="00E67E7E">
        <w:rPr>
          <w:rFonts w:ascii="Verdana" w:hAnsi="Verdana"/>
          <w:b/>
          <w:u w:val="single"/>
        </w:rPr>
        <w:t>Engagement:</w:t>
      </w:r>
    </w:p>
    <w:p w14:paraId="2C94C824" w14:textId="5C9749D4" w:rsidR="00EC02C8" w:rsidRPr="00E67E7E" w:rsidRDefault="00EC02C8" w:rsidP="001329B3">
      <w:pPr>
        <w:jc w:val="both"/>
        <w:rPr>
          <w:rFonts w:ascii="Verdana" w:hAnsi="Verdana"/>
        </w:rPr>
      </w:pPr>
    </w:p>
    <w:p w14:paraId="62CECE44" w14:textId="6663AB76" w:rsidR="00314807" w:rsidRPr="00E67E7E" w:rsidRDefault="00314807" w:rsidP="001329B3">
      <w:pPr>
        <w:jc w:val="both"/>
        <w:rPr>
          <w:rFonts w:ascii="Verdana" w:hAnsi="Verdana"/>
        </w:rPr>
      </w:pPr>
      <w:r w:rsidRPr="00E67E7E">
        <w:rPr>
          <w:rFonts w:ascii="Verdana" w:hAnsi="Verdana"/>
        </w:rPr>
        <w:t xml:space="preserve">We have been proposed to be </w:t>
      </w:r>
      <w:r w:rsidR="005225F0" w:rsidRPr="00E67E7E">
        <w:rPr>
          <w:rFonts w:ascii="Verdana" w:hAnsi="Verdana"/>
        </w:rPr>
        <w:t xml:space="preserve">appointed </w:t>
      </w:r>
      <w:r w:rsidR="00C100F9" w:rsidRPr="00C100F9">
        <w:rPr>
          <w:rFonts w:ascii="Verdana" w:hAnsi="Verdana"/>
        </w:rPr>
        <w:t xml:space="preserve">for conducting </w:t>
      </w:r>
      <w:r w:rsidR="00287EFC">
        <w:rPr>
          <w:rFonts w:ascii="Verdana" w:hAnsi="Verdana"/>
        </w:rPr>
        <w:t>statutory audit of</w:t>
      </w:r>
      <w:r w:rsidR="00D76CE6">
        <w:rPr>
          <w:rFonts w:ascii="Verdana" w:hAnsi="Verdana"/>
        </w:rPr>
        <w:t xml:space="preserve"> the </w:t>
      </w:r>
      <w:r w:rsidR="006B4FDE">
        <w:rPr>
          <w:rFonts w:ascii="Verdana" w:hAnsi="Verdana"/>
        </w:rPr>
        <w:t>CIPL</w:t>
      </w:r>
      <w:r w:rsidR="00D76CE6">
        <w:rPr>
          <w:rFonts w:ascii="Verdana" w:hAnsi="Verdana"/>
        </w:rPr>
        <w:t xml:space="preserve"> for the year ended 30 June 202</w:t>
      </w:r>
      <w:r w:rsidR="00131C5D">
        <w:rPr>
          <w:rFonts w:ascii="Verdana" w:hAnsi="Verdana"/>
        </w:rPr>
        <w:t>2</w:t>
      </w:r>
      <w:r w:rsidR="005225F0" w:rsidRPr="00E67E7E">
        <w:rPr>
          <w:rFonts w:ascii="Verdana" w:hAnsi="Verdana"/>
        </w:rPr>
        <w:t>.</w:t>
      </w:r>
    </w:p>
    <w:p w14:paraId="32CBE198" w14:textId="77777777" w:rsidR="00BD46D6" w:rsidRPr="00E67E7E" w:rsidRDefault="00BD46D6" w:rsidP="001329B3">
      <w:pPr>
        <w:jc w:val="both"/>
        <w:rPr>
          <w:rFonts w:ascii="Verdana" w:hAnsi="Verdana"/>
          <w:b/>
          <w:u w:val="single"/>
        </w:rPr>
      </w:pPr>
    </w:p>
    <w:p w14:paraId="529A445B" w14:textId="77777777" w:rsidR="00EC02C8" w:rsidRPr="00E67E7E" w:rsidRDefault="00EC02C8" w:rsidP="001329B3">
      <w:pPr>
        <w:jc w:val="both"/>
        <w:rPr>
          <w:rFonts w:ascii="Verdana" w:hAnsi="Verdana"/>
          <w:b/>
          <w:u w:val="single"/>
        </w:rPr>
      </w:pPr>
      <w:r w:rsidRPr="00E67E7E">
        <w:rPr>
          <w:rFonts w:ascii="Verdana" w:hAnsi="Verdana"/>
          <w:b/>
          <w:u w:val="single"/>
        </w:rPr>
        <w:t xml:space="preserve">Consideration/Analysis of Engagement Risk:  </w:t>
      </w:r>
    </w:p>
    <w:p w14:paraId="033D437C" w14:textId="77777777" w:rsidR="00EC02C8" w:rsidRPr="00E67E7E" w:rsidRDefault="00EC02C8" w:rsidP="001329B3">
      <w:pPr>
        <w:jc w:val="both"/>
        <w:rPr>
          <w:rFonts w:ascii="Verdana" w:hAnsi="Verdana"/>
        </w:rPr>
      </w:pPr>
    </w:p>
    <w:p w14:paraId="60529927" w14:textId="77777777" w:rsidR="00EC02C8" w:rsidRPr="00E67E7E" w:rsidRDefault="00EC02C8" w:rsidP="001329B3">
      <w:pPr>
        <w:jc w:val="both"/>
        <w:rPr>
          <w:rFonts w:ascii="Verdana" w:hAnsi="Verdana"/>
        </w:rPr>
      </w:pPr>
      <w:r w:rsidRPr="00E67E7E">
        <w:rPr>
          <w:rFonts w:ascii="Verdana" w:hAnsi="Verdana"/>
        </w:rPr>
        <w:t>Reference of the Deloitte Policy Manual (DPM)</w:t>
      </w:r>
    </w:p>
    <w:p w14:paraId="5BCA5458" w14:textId="77777777" w:rsidR="00EC02C8" w:rsidRPr="00E67E7E" w:rsidRDefault="00EC02C8" w:rsidP="001329B3">
      <w:pPr>
        <w:pStyle w:val="NumberedParagraph"/>
        <w:numPr>
          <w:ilvl w:val="0"/>
          <w:numId w:val="0"/>
        </w:numPr>
        <w:jc w:val="both"/>
        <w:rPr>
          <w:rFonts w:ascii="Verdana" w:hAnsi="Verdana"/>
        </w:rPr>
      </w:pPr>
      <w:r w:rsidRPr="00E67E7E">
        <w:rPr>
          <w:rFonts w:ascii="Verdana" w:hAnsi="Verdana"/>
        </w:rPr>
        <w:t xml:space="preserve">As per Para 38 of Deloitte Policy Manual (‘DPM’) states, </w:t>
      </w:r>
    </w:p>
    <w:p w14:paraId="7C12A961" w14:textId="54C81C40" w:rsidR="00EC02C8" w:rsidRPr="00E67E7E" w:rsidRDefault="00EC02C8" w:rsidP="00101EBA">
      <w:pPr>
        <w:pStyle w:val="NumberedParagraph"/>
        <w:numPr>
          <w:ilvl w:val="0"/>
          <w:numId w:val="0"/>
        </w:numPr>
        <w:spacing w:after="120"/>
        <w:jc w:val="both"/>
        <w:rPr>
          <w:rFonts w:ascii="Verdana" w:hAnsi="Verdana"/>
          <w:i/>
        </w:rPr>
      </w:pPr>
      <w:r w:rsidRPr="00E67E7E">
        <w:rPr>
          <w:rFonts w:ascii="Verdana" w:hAnsi="Verdana"/>
          <w:i/>
        </w:rPr>
        <w:t>“For all Engagements, the Member Firm shoul</w:t>
      </w:r>
      <w:r w:rsidR="00101EBA">
        <w:rPr>
          <w:rFonts w:ascii="Verdana" w:hAnsi="Verdana"/>
          <w:i/>
        </w:rPr>
        <w:t xml:space="preserve">d establish that the Engagement </w:t>
      </w:r>
      <w:r w:rsidRPr="00E67E7E">
        <w:rPr>
          <w:rFonts w:ascii="Verdana" w:hAnsi="Verdana"/>
          <w:i/>
        </w:rPr>
        <w:t xml:space="preserve">Risk is classified in one of the following categories: </w:t>
      </w:r>
    </w:p>
    <w:p w14:paraId="72F8E047" w14:textId="77777777" w:rsidR="00EC02C8" w:rsidRPr="00E67E7E" w:rsidRDefault="00EC02C8" w:rsidP="001329B3">
      <w:pPr>
        <w:pStyle w:val="NumberedParagraph"/>
        <w:numPr>
          <w:ilvl w:val="0"/>
          <w:numId w:val="18"/>
        </w:numPr>
        <w:spacing w:before="0"/>
        <w:jc w:val="both"/>
        <w:rPr>
          <w:rFonts w:ascii="Verdana" w:hAnsi="Verdana"/>
          <w:i/>
        </w:rPr>
      </w:pPr>
      <w:r w:rsidRPr="00E67E7E">
        <w:rPr>
          <w:rFonts w:ascii="Verdana" w:hAnsi="Verdana"/>
          <w:i/>
        </w:rPr>
        <w:t>Normal risk</w:t>
      </w:r>
    </w:p>
    <w:p w14:paraId="50C0EF50" w14:textId="77777777" w:rsidR="00EC02C8" w:rsidRPr="00E67E7E" w:rsidRDefault="00EC02C8" w:rsidP="001329B3">
      <w:pPr>
        <w:pStyle w:val="NumberedParagraph"/>
        <w:numPr>
          <w:ilvl w:val="0"/>
          <w:numId w:val="18"/>
        </w:numPr>
        <w:spacing w:before="0"/>
        <w:jc w:val="both"/>
        <w:rPr>
          <w:rFonts w:ascii="Verdana" w:hAnsi="Verdana"/>
          <w:i/>
        </w:rPr>
      </w:pPr>
      <w:r w:rsidRPr="00E67E7E">
        <w:rPr>
          <w:rFonts w:ascii="Verdana" w:hAnsi="Verdana"/>
          <w:i/>
        </w:rPr>
        <w:t>Greater-than-normal risk</w:t>
      </w:r>
    </w:p>
    <w:p w14:paraId="1B7379DA" w14:textId="11B86AEF" w:rsidR="00930211" w:rsidRPr="00D76CE6" w:rsidRDefault="00EC02C8" w:rsidP="00D76CE6">
      <w:pPr>
        <w:pStyle w:val="NumberedParagraph"/>
        <w:numPr>
          <w:ilvl w:val="0"/>
          <w:numId w:val="18"/>
        </w:numPr>
        <w:spacing w:before="0"/>
        <w:jc w:val="both"/>
        <w:rPr>
          <w:rFonts w:ascii="Verdana" w:hAnsi="Verdana"/>
          <w:i/>
        </w:rPr>
      </w:pPr>
      <w:r w:rsidRPr="00E67E7E">
        <w:rPr>
          <w:rFonts w:ascii="Verdana" w:hAnsi="Verdana"/>
          <w:i/>
        </w:rPr>
        <w:t xml:space="preserve">Much-greater-than-normal risk.”  </w:t>
      </w:r>
    </w:p>
    <w:p w14:paraId="543E7982" w14:textId="4786DA5A" w:rsidR="00EC02C8" w:rsidRPr="00E67E7E" w:rsidRDefault="00EC02C8" w:rsidP="001329B3">
      <w:pPr>
        <w:pStyle w:val="NumberedParagraph"/>
        <w:numPr>
          <w:ilvl w:val="0"/>
          <w:numId w:val="0"/>
        </w:numPr>
        <w:tabs>
          <w:tab w:val="left" w:pos="0"/>
          <w:tab w:val="left" w:pos="450"/>
        </w:tabs>
        <w:jc w:val="both"/>
        <w:rPr>
          <w:rFonts w:ascii="Verdana" w:hAnsi="Verdana"/>
        </w:rPr>
      </w:pPr>
      <w:r w:rsidRPr="00E67E7E">
        <w:rPr>
          <w:rFonts w:ascii="Verdana" w:hAnsi="Verdana"/>
        </w:rPr>
        <w:t xml:space="preserve">Further Para 39 of DPM states that </w:t>
      </w:r>
    </w:p>
    <w:p w14:paraId="7BC8493D" w14:textId="77777777" w:rsidR="00EC02C8" w:rsidRPr="00E67E7E" w:rsidRDefault="00EC02C8" w:rsidP="001329B3">
      <w:pPr>
        <w:pStyle w:val="NumberedParagraph"/>
        <w:numPr>
          <w:ilvl w:val="0"/>
          <w:numId w:val="0"/>
        </w:numPr>
        <w:tabs>
          <w:tab w:val="left" w:pos="0"/>
          <w:tab w:val="left" w:pos="450"/>
        </w:tabs>
        <w:jc w:val="both"/>
        <w:rPr>
          <w:rFonts w:ascii="Verdana" w:hAnsi="Verdana"/>
        </w:rPr>
      </w:pPr>
      <w:r w:rsidRPr="00E67E7E">
        <w:rPr>
          <w:rFonts w:ascii="Verdana" w:hAnsi="Verdana"/>
          <w:i/>
        </w:rPr>
        <w:lastRenderedPageBreak/>
        <w:t xml:space="preserve">“The assessment of Client Risk and the classification of the particular Professional Service are combined, and professional judgment needs to be exercised in reaching a conclusion regarding the acceptability of the risk associated with accepting such Engagement. The judgment needs to be based not only on the evaluation of the Client Risk and the classification of the particular Professional Service but also on the recognition that some risk factors exist in virtually all Engagements and that the combination of all elements of risk can add up to an unacceptable degree of Engagement </w:t>
      </w:r>
      <w:proofErr w:type="gramStart"/>
      <w:r w:rsidRPr="00E67E7E">
        <w:rPr>
          <w:rFonts w:ascii="Verdana" w:hAnsi="Verdana"/>
          <w:i/>
        </w:rPr>
        <w:t>Risk..</w:t>
      </w:r>
      <w:proofErr w:type="gramEnd"/>
      <w:r w:rsidRPr="00E67E7E">
        <w:rPr>
          <w:rFonts w:ascii="Verdana" w:hAnsi="Verdana"/>
          <w:i/>
        </w:rPr>
        <w:t>”</w:t>
      </w:r>
      <w:r w:rsidRPr="00E67E7E">
        <w:rPr>
          <w:rFonts w:ascii="Verdana" w:hAnsi="Verdana"/>
        </w:rPr>
        <w:t xml:space="preserve"> </w:t>
      </w:r>
    </w:p>
    <w:p w14:paraId="4DAEA145" w14:textId="77777777" w:rsidR="00EC02C8" w:rsidRPr="00E67E7E" w:rsidRDefault="00EC02C8" w:rsidP="001329B3">
      <w:pPr>
        <w:jc w:val="both"/>
        <w:rPr>
          <w:rFonts w:ascii="Verdana" w:hAnsi="Verdana"/>
          <w:b/>
          <w:u w:val="single"/>
        </w:rPr>
      </w:pPr>
    </w:p>
    <w:p w14:paraId="3F6DB480" w14:textId="77777777" w:rsidR="00EC02C8" w:rsidRPr="00E67E7E" w:rsidRDefault="00EC02C8" w:rsidP="00101EBA">
      <w:pPr>
        <w:spacing w:after="120"/>
        <w:jc w:val="both"/>
        <w:rPr>
          <w:rFonts w:ascii="Verdana" w:hAnsi="Verdana"/>
        </w:rPr>
      </w:pPr>
      <w:r w:rsidRPr="00E67E7E">
        <w:rPr>
          <w:rFonts w:ascii="Verdana" w:hAnsi="Verdana"/>
        </w:rPr>
        <w:t>Per para 10 of DPM 3210 Engagement Acceptance and Risk Classification (DPM India), the engagement team should consider the following factors, in assessing the engagement risk:</w:t>
      </w:r>
    </w:p>
    <w:p w14:paraId="4CA2C668" w14:textId="77777777" w:rsidR="00EC02C8" w:rsidRPr="00E67E7E" w:rsidRDefault="00EC02C8" w:rsidP="00101EBA">
      <w:pPr>
        <w:pStyle w:val="ListParagraph"/>
        <w:numPr>
          <w:ilvl w:val="0"/>
          <w:numId w:val="3"/>
        </w:numPr>
        <w:ind w:left="720"/>
        <w:jc w:val="both"/>
        <w:rPr>
          <w:rFonts w:ascii="Verdana" w:hAnsi="Verdana"/>
          <w:sz w:val="24"/>
          <w:szCs w:val="24"/>
        </w:rPr>
      </w:pPr>
      <w:r w:rsidRPr="00E67E7E">
        <w:rPr>
          <w:rFonts w:ascii="Verdana" w:hAnsi="Verdana"/>
          <w:sz w:val="24"/>
          <w:szCs w:val="24"/>
        </w:rPr>
        <w:t>Management characteristics and integrity</w:t>
      </w:r>
    </w:p>
    <w:p w14:paraId="1BA2730D" w14:textId="77777777" w:rsidR="00EC02C8" w:rsidRPr="00E67E7E" w:rsidRDefault="00EC02C8" w:rsidP="00101EBA">
      <w:pPr>
        <w:pStyle w:val="ListParagraph"/>
        <w:numPr>
          <w:ilvl w:val="0"/>
          <w:numId w:val="3"/>
        </w:numPr>
        <w:ind w:left="720"/>
        <w:jc w:val="both"/>
        <w:rPr>
          <w:rFonts w:ascii="Verdana" w:hAnsi="Verdana"/>
          <w:sz w:val="24"/>
          <w:szCs w:val="24"/>
        </w:rPr>
      </w:pPr>
      <w:r w:rsidRPr="00E67E7E">
        <w:rPr>
          <w:rFonts w:ascii="Verdana" w:hAnsi="Verdana"/>
          <w:sz w:val="24"/>
          <w:szCs w:val="24"/>
        </w:rPr>
        <w:t>Organization and management structure</w:t>
      </w:r>
    </w:p>
    <w:p w14:paraId="42248972" w14:textId="77777777" w:rsidR="00EC02C8" w:rsidRPr="00E67E7E" w:rsidRDefault="00EC02C8" w:rsidP="00101EBA">
      <w:pPr>
        <w:pStyle w:val="ListParagraph"/>
        <w:numPr>
          <w:ilvl w:val="0"/>
          <w:numId w:val="3"/>
        </w:numPr>
        <w:ind w:left="720"/>
        <w:jc w:val="both"/>
        <w:rPr>
          <w:rFonts w:ascii="Verdana" w:hAnsi="Verdana"/>
          <w:sz w:val="24"/>
          <w:szCs w:val="24"/>
        </w:rPr>
      </w:pPr>
      <w:r w:rsidRPr="00E67E7E">
        <w:rPr>
          <w:rFonts w:ascii="Verdana" w:hAnsi="Verdana"/>
          <w:sz w:val="24"/>
          <w:szCs w:val="24"/>
        </w:rPr>
        <w:t>Nature of the business</w:t>
      </w:r>
    </w:p>
    <w:p w14:paraId="0EB9BE72" w14:textId="77777777" w:rsidR="00EC02C8" w:rsidRPr="00E67E7E" w:rsidRDefault="00EC02C8" w:rsidP="00101EBA">
      <w:pPr>
        <w:pStyle w:val="ListParagraph"/>
        <w:numPr>
          <w:ilvl w:val="0"/>
          <w:numId w:val="3"/>
        </w:numPr>
        <w:ind w:left="720"/>
        <w:jc w:val="both"/>
        <w:rPr>
          <w:rFonts w:ascii="Verdana" w:hAnsi="Verdana"/>
          <w:sz w:val="24"/>
          <w:szCs w:val="24"/>
        </w:rPr>
      </w:pPr>
      <w:r w:rsidRPr="00E67E7E">
        <w:rPr>
          <w:rFonts w:ascii="Verdana" w:hAnsi="Verdana"/>
          <w:sz w:val="24"/>
          <w:szCs w:val="24"/>
        </w:rPr>
        <w:t>Business environment</w:t>
      </w:r>
    </w:p>
    <w:p w14:paraId="06CBE1B3" w14:textId="77777777" w:rsidR="00EC02C8" w:rsidRPr="00E67E7E" w:rsidRDefault="00EC02C8" w:rsidP="00101EBA">
      <w:pPr>
        <w:pStyle w:val="ListParagraph"/>
        <w:numPr>
          <w:ilvl w:val="0"/>
          <w:numId w:val="3"/>
        </w:numPr>
        <w:ind w:left="720"/>
        <w:jc w:val="both"/>
        <w:rPr>
          <w:rFonts w:ascii="Verdana" w:hAnsi="Verdana"/>
          <w:sz w:val="24"/>
          <w:szCs w:val="24"/>
        </w:rPr>
      </w:pPr>
      <w:r w:rsidRPr="00E67E7E">
        <w:rPr>
          <w:rFonts w:ascii="Verdana" w:hAnsi="Verdana"/>
          <w:sz w:val="24"/>
          <w:szCs w:val="24"/>
        </w:rPr>
        <w:t>Financial results</w:t>
      </w:r>
    </w:p>
    <w:p w14:paraId="569E520A" w14:textId="77777777" w:rsidR="00EC02C8" w:rsidRPr="00E67E7E" w:rsidRDefault="00EC02C8" w:rsidP="00101EBA">
      <w:pPr>
        <w:pStyle w:val="ListParagraph"/>
        <w:numPr>
          <w:ilvl w:val="0"/>
          <w:numId w:val="3"/>
        </w:numPr>
        <w:ind w:left="720"/>
        <w:jc w:val="both"/>
        <w:rPr>
          <w:rFonts w:ascii="Verdana" w:hAnsi="Verdana"/>
          <w:sz w:val="24"/>
          <w:szCs w:val="24"/>
        </w:rPr>
      </w:pPr>
      <w:r w:rsidRPr="00E67E7E">
        <w:rPr>
          <w:rFonts w:ascii="Verdana" w:hAnsi="Verdana"/>
          <w:sz w:val="24"/>
          <w:szCs w:val="24"/>
        </w:rPr>
        <w:t>Business relationships and related parties</w:t>
      </w:r>
    </w:p>
    <w:p w14:paraId="12BE2473" w14:textId="77777777" w:rsidR="00EC02C8" w:rsidRPr="00E67E7E" w:rsidRDefault="00EC02C8" w:rsidP="00101EBA">
      <w:pPr>
        <w:pStyle w:val="ListParagraph"/>
        <w:numPr>
          <w:ilvl w:val="0"/>
          <w:numId w:val="3"/>
        </w:numPr>
        <w:ind w:left="720"/>
        <w:jc w:val="both"/>
        <w:rPr>
          <w:rFonts w:ascii="Verdana" w:hAnsi="Verdana"/>
          <w:sz w:val="24"/>
          <w:szCs w:val="24"/>
        </w:rPr>
      </w:pPr>
      <w:r w:rsidRPr="00E67E7E">
        <w:rPr>
          <w:rFonts w:ascii="Verdana" w:hAnsi="Verdana"/>
          <w:sz w:val="24"/>
          <w:szCs w:val="24"/>
        </w:rPr>
        <w:t>Prior knowledge and experience</w:t>
      </w:r>
    </w:p>
    <w:p w14:paraId="5B291C74" w14:textId="77777777" w:rsidR="00EC02C8" w:rsidRPr="00E67E7E" w:rsidRDefault="00EC02C8" w:rsidP="001329B3">
      <w:pPr>
        <w:jc w:val="both"/>
        <w:rPr>
          <w:rFonts w:ascii="Verdana" w:hAnsi="Verdana"/>
        </w:rPr>
      </w:pPr>
    </w:p>
    <w:p w14:paraId="53358799" w14:textId="77777777" w:rsidR="00EC02C8" w:rsidRPr="00E67E7E" w:rsidRDefault="00EC02C8" w:rsidP="00101EBA">
      <w:pPr>
        <w:spacing w:after="120"/>
        <w:jc w:val="both"/>
        <w:rPr>
          <w:rFonts w:ascii="Verdana" w:hAnsi="Verdana"/>
        </w:rPr>
      </w:pPr>
      <w:r w:rsidRPr="00E67E7E">
        <w:rPr>
          <w:rFonts w:ascii="Verdana" w:hAnsi="Verdana"/>
        </w:rPr>
        <w:t>We have analyzed the above said factors in the following paragraphs:</w:t>
      </w:r>
    </w:p>
    <w:p w14:paraId="5BDF0DCE" w14:textId="77777777" w:rsidR="00EC02C8" w:rsidRPr="00E67E7E" w:rsidRDefault="00EC02C8" w:rsidP="00101EBA">
      <w:pPr>
        <w:pStyle w:val="ListParagraph"/>
        <w:numPr>
          <w:ilvl w:val="0"/>
          <w:numId w:val="3"/>
        </w:numPr>
        <w:ind w:left="720"/>
        <w:jc w:val="both"/>
        <w:rPr>
          <w:rFonts w:ascii="Verdana" w:hAnsi="Verdana"/>
          <w:b/>
          <w:sz w:val="24"/>
          <w:szCs w:val="24"/>
          <w:u w:val="single"/>
        </w:rPr>
      </w:pPr>
      <w:r w:rsidRPr="00E67E7E">
        <w:rPr>
          <w:rFonts w:ascii="Verdana" w:hAnsi="Verdana"/>
          <w:b/>
          <w:sz w:val="24"/>
          <w:szCs w:val="24"/>
          <w:u w:val="single"/>
        </w:rPr>
        <w:t>Management characteristics and integrity</w:t>
      </w:r>
    </w:p>
    <w:p w14:paraId="17219113" w14:textId="77777777" w:rsidR="00EC02C8" w:rsidRPr="000A76C5" w:rsidRDefault="00EC02C8" w:rsidP="001329B3">
      <w:pPr>
        <w:jc w:val="both"/>
        <w:rPr>
          <w:rFonts w:ascii="Verdana" w:hAnsi="Verdana"/>
          <w:sz w:val="16"/>
        </w:rPr>
      </w:pPr>
    </w:p>
    <w:p w14:paraId="7DC73554" w14:textId="2FB7BD07" w:rsidR="00EC02C8" w:rsidRDefault="00EC02C8" w:rsidP="00101EBA">
      <w:pPr>
        <w:ind w:left="720"/>
        <w:jc w:val="both"/>
        <w:rPr>
          <w:rFonts w:ascii="Verdana" w:hAnsi="Verdana"/>
        </w:rPr>
      </w:pPr>
      <w:r w:rsidRPr="00E67E7E">
        <w:rPr>
          <w:rFonts w:ascii="Verdana" w:hAnsi="Verdana"/>
        </w:rPr>
        <w:t xml:space="preserve">Based on the discussion with the management, research performed by the engagement team and background check </w:t>
      </w:r>
      <w:r w:rsidR="009746FA" w:rsidRPr="00E67E7E">
        <w:rPr>
          <w:rFonts w:ascii="Verdana" w:hAnsi="Verdana"/>
        </w:rPr>
        <w:t xml:space="preserve">(First Pass Check) </w:t>
      </w:r>
      <w:r w:rsidRPr="00E67E7E">
        <w:rPr>
          <w:rFonts w:ascii="Verdana" w:hAnsi="Verdana"/>
        </w:rPr>
        <w:t xml:space="preserve">performed as part of the engagement acceptance process, we have not identified any concerns on the characteristics and integrity of the Management. Refer to the attachment </w:t>
      </w:r>
      <w:r w:rsidR="00314807" w:rsidRPr="00E67E7E">
        <w:rPr>
          <w:rFonts w:ascii="Verdana" w:hAnsi="Verdana"/>
        </w:rPr>
        <w:t xml:space="preserve">below </w:t>
      </w:r>
      <w:r w:rsidRPr="00E67E7E">
        <w:rPr>
          <w:rFonts w:ascii="Verdana" w:hAnsi="Verdana"/>
        </w:rPr>
        <w:t xml:space="preserve">about the entity for brief background of the Management team of the </w:t>
      </w:r>
      <w:r w:rsidR="00D76CE6">
        <w:rPr>
          <w:rFonts w:ascii="Verdana" w:hAnsi="Verdana"/>
        </w:rPr>
        <w:t>Entity</w:t>
      </w:r>
      <w:r w:rsidRPr="00E67E7E">
        <w:rPr>
          <w:rFonts w:ascii="Verdana" w:hAnsi="Verdana"/>
        </w:rPr>
        <w:t xml:space="preserve">. </w:t>
      </w:r>
    </w:p>
    <w:p w14:paraId="110A6DE6" w14:textId="609BA8DF" w:rsidR="0047459F" w:rsidRDefault="009B58C6" w:rsidP="00D017F9">
      <w:pPr>
        <w:tabs>
          <w:tab w:val="left" w:pos="1586"/>
        </w:tabs>
        <w:rPr>
          <w:rFonts w:ascii="Verdana" w:hAnsi="Verdana"/>
        </w:rPr>
      </w:pPr>
      <w:r>
        <w:rPr>
          <w:rFonts w:ascii="Verdana" w:hAnsi="Verdana"/>
        </w:rPr>
        <w:tab/>
      </w:r>
    </w:p>
    <w:p w14:paraId="1E21E0F1" w14:textId="77777777" w:rsidR="00EC02C8" w:rsidRPr="00E67E7E" w:rsidRDefault="00EC02C8" w:rsidP="00101EBA">
      <w:pPr>
        <w:spacing w:after="120"/>
        <w:ind w:left="720"/>
        <w:jc w:val="both"/>
        <w:rPr>
          <w:rFonts w:ascii="Verdana" w:hAnsi="Verdana"/>
        </w:rPr>
      </w:pPr>
      <w:r w:rsidRPr="00E67E7E">
        <w:rPr>
          <w:rFonts w:ascii="Verdana" w:hAnsi="Verdana"/>
        </w:rPr>
        <w:t xml:space="preserve">Whether we perceive a higher risk in the form:  </w:t>
      </w:r>
    </w:p>
    <w:p w14:paraId="14BF378C" w14:textId="0A8E4404" w:rsidR="00EC02C8" w:rsidRPr="00E67E7E" w:rsidRDefault="00EC02C8" w:rsidP="00101EBA">
      <w:pPr>
        <w:ind w:left="720"/>
        <w:jc w:val="both"/>
        <w:rPr>
          <w:rFonts w:ascii="Verdana" w:hAnsi="Verdana"/>
        </w:rPr>
      </w:pPr>
      <w:r w:rsidRPr="00E67E7E">
        <w:rPr>
          <w:rFonts w:ascii="Verdana" w:hAnsi="Verdana"/>
        </w:rPr>
        <w:t xml:space="preserve">Client Risk:                                   </w:t>
      </w:r>
      <w:r w:rsidRPr="00E67E7E">
        <w:rPr>
          <w:rFonts w:ascii="Verdana" w:hAnsi="Verdana"/>
          <w:b/>
        </w:rPr>
        <w:t>No</w:t>
      </w:r>
    </w:p>
    <w:p w14:paraId="06C2BFF8" w14:textId="37AA43FD" w:rsidR="00EC02C8" w:rsidRPr="00E67E7E" w:rsidRDefault="00EC02C8" w:rsidP="00101EBA">
      <w:pPr>
        <w:autoSpaceDE w:val="0"/>
        <w:autoSpaceDN w:val="0"/>
        <w:adjustRightInd w:val="0"/>
        <w:ind w:left="720"/>
        <w:jc w:val="both"/>
        <w:rPr>
          <w:rFonts w:ascii="Verdana" w:hAnsi="Verdana"/>
        </w:rPr>
      </w:pPr>
      <w:r w:rsidRPr="00E67E7E">
        <w:rPr>
          <w:rFonts w:ascii="Verdana" w:hAnsi="Verdana"/>
        </w:rPr>
        <w:t xml:space="preserve">Professional Service Risk:              </w:t>
      </w:r>
      <w:r w:rsidRPr="00E67E7E">
        <w:rPr>
          <w:rFonts w:ascii="Verdana" w:hAnsi="Verdana"/>
          <w:b/>
        </w:rPr>
        <w:t>No</w:t>
      </w:r>
      <w:r w:rsidRPr="00E67E7E">
        <w:rPr>
          <w:rFonts w:ascii="Verdana" w:hAnsi="Verdana"/>
        </w:rPr>
        <w:t xml:space="preserve"> </w:t>
      </w:r>
    </w:p>
    <w:p w14:paraId="784B32DB" w14:textId="1AC6BB96" w:rsidR="00EC02C8" w:rsidRPr="00E67E7E" w:rsidRDefault="00EC02C8" w:rsidP="00101EBA">
      <w:pPr>
        <w:autoSpaceDE w:val="0"/>
        <w:autoSpaceDN w:val="0"/>
        <w:adjustRightInd w:val="0"/>
        <w:ind w:left="720"/>
        <w:jc w:val="both"/>
        <w:rPr>
          <w:rFonts w:ascii="Verdana" w:hAnsi="Verdana"/>
        </w:rPr>
      </w:pPr>
      <w:r w:rsidRPr="00E67E7E">
        <w:rPr>
          <w:rFonts w:ascii="Verdana" w:hAnsi="Verdana"/>
        </w:rPr>
        <w:t xml:space="preserve">Overall Engagement Risk:              </w:t>
      </w:r>
      <w:r w:rsidRPr="00E67E7E">
        <w:rPr>
          <w:rFonts w:ascii="Verdana" w:hAnsi="Verdana"/>
          <w:b/>
        </w:rPr>
        <w:t>No</w:t>
      </w:r>
    </w:p>
    <w:p w14:paraId="77EAEA60" w14:textId="5C51D12A" w:rsidR="00EC02C8" w:rsidRDefault="00EC02C8" w:rsidP="00101EBA">
      <w:pPr>
        <w:ind w:left="720"/>
        <w:jc w:val="both"/>
        <w:rPr>
          <w:rFonts w:ascii="Verdana" w:hAnsi="Verdana"/>
        </w:rPr>
      </w:pPr>
    </w:p>
    <w:p w14:paraId="2426DA63" w14:textId="554FACC9" w:rsidR="005D3ED4" w:rsidRDefault="00B51722" w:rsidP="00B51722">
      <w:pPr>
        <w:jc w:val="center"/>
        <w:rPr>
          <w:rFonts w:ascii="Verdana" w:hAnsi="Verdana"/>
        </w:rPr>
      </w:pPr>
      <w:r>
        <w:object w:dxaOrig="1508" w:dyaOrig="982" w14:anchorId="5DC1225A">
          <v:shape id="_x0000_i1026" type="#_x0000_t75" style="width:75.5pt;height:49pt" o:ole="">
            <v:imagedata r:id="rId9" o:title=""/>
          </v:shape>
          <o:OLEObject Type="Embed" ProgID="Package" ShapeID="_x0000_i1026" DrawAspect="Icon" ObjectID="_1732521906" r:id="rId10"/>
        </w:object>
      </w:r>
    </w:p>
    <w:p w14:paraId="3EEC4047" w14:textId="77777777" w:rsidR="00B51722" w:rsidRPr="00E67E7E" w:rsidRDefault="00B51722" w:rsidP="001329B3">
      <w:pPr>
        <w:jc w:val="both"/>
        <w:rPr>
          <w:rFonts w:ascii="Verdana" w:hAnsi="Verdana"/>
        </w:rPr>
      </w:pPr>
    </w:p>
    <w:p w14:paraId="0194C1D0" w14:textId="77777777" w:rsidR="00EC02C8" w:rsidRPr="00E67E7E" w:rsidRDefault="00EC02C8" w:rsidP="00101EBA">
      <w:pPr>
        <w:pStyle w:val="ListParagraph"/>
        <w:numPr>
          <w:ilvl w:val="0"/>
          <w:numId w:val="3"/>
        </w:numPr>
        <w:ind w:left="720"/>
        <w:jc w:val="both"/>
        <w:rPr>
          <w:rFonts w:ascii="Verdana" w:hAnsi="Verdana"/>
          <w:b/>
          <w:sz w:val="24"/>
          <w:szCs w:val="24"/>
          <w:u w:val="single"/>
        </w:rPr>
      </w:pPr>
      <w:r w:rsidRPr="00E67E7E">
        <w:rPr>
          <w:rFonts w:ascii="Verdana" w:hAnsi="Verdana"/>
          <w:b/>
          <w:sz w:val="24"/>
          <w:szCs w:val="24"/>
          <w:u w:val="single"/>
        </w:rPr>
        <w:t>Organization and management structure</w:t>
      </w:r>
    </w:p>
    <w:p w14:paraId="42DC04BB" w14:textId="77777777" w:rsidR="00EC02C8" w:rsidRPr="00E67E7E" w:rsidRDefault="00EC02C8" w:rsidP="001329B3">
      <w:pPr>
        <w:pStyle w:val="ListParagraph"/>
        <w:ind w:left="1080"/>
        <w:jc w:val="both"/>
        <w:rPr>
          <w:rFonts w:ascii="Verdana" w:hAnsi="Verdana"/>
          <w:sz w:val="24"/>
          <w:szCs w:val="24"/>
          <w:u w:val="single"/>
        </w:rPr>
      </w:pPr>
    </w:p>
    <w:p w14:paraId="0C5011E2" w14:textId="5CB7CE38" w:rsidR="00F92607" w:rsidRDefault="006B4FDE" w:rsidP="00101EBA">
      <w:pPr>
        <w:ind w:left="720"/>
        <w:jc w:val="both"/>
        <w:rPr>
          <w:rFonts w:ascii="Verdana" w:hAnsi="Verdana"/>
        </w:rPr>
      </w:pPr>
      <w:r w:rsidRPr="006B4FDE">
        <w:rPr>
          <w:rFonts w:ascii="Verdana" w:hAnsi="Verdana"/>
        </w:rPr>
        <w:t>Cosmopolitan Industries (Pvt.)</w:t>
      </w:r>
      <w:r>
        <w:rPr>
          <w:rFonts w:ascii="Verdana" w:hAnsi="Verdana"/>
        </w:rPr>
        <w:t xml:space="preserve"> Limited (CIPL) </w:t>
      </w:r>
      <w:r w:rsidR="00FC2B5D" w:rsidRPr="00FC2B5D">
        <w:rPr>
          <w:rFonts w:ascii="Verdana" w:hAnsi="Verdana"/>
        </w:rPr>
        <w:t>was incorporated in Bangladesh as a p</w:t>
      </w:r>
      <w:r w:rsidR="00C22B9C">
        <w:rPr>
          <w:rFonts w:ascii="Verdana" w:hAnsi="Verdana"/>
        </w:rPr>
        <w:t>rivate</w:t>
      </w:r>
      <w:r w:rsidR="00FC2B5D" w:rsidRPr="00FC2B5D">
        <w:rPr>
          <w:rFonts w:ascii="Verdana" w:hAnsi="Verdana"/>
        </w:rPr>
        <w:t xml:space="preserve"> limited company </w:t>
      </w:r>
      <w:r>
        <w:rPr>
          <w:rFonts w:ascii="Verdana" w:hAnsi="Verdana"/>
        </w:rPr>
        <w:t>under registration from RJSC.</w:t>
      </w:r>
    </w:p>
    <w:p w14:paraId="126F21AC" w14:textId="4C6B8978" w:rsidR="00117186" w:rsidRDefault="00117186" w:rsidP="00101EBA">
      <w:pPr>
        <w:ind w:left="720"/>
        <w:jc w:val="both"/>
        <w:rPr>
          <w:rFonts w:ascii="Verdana" w:hAnsi="Verdana"/>
        </w:rPr>
      </w:pPr>
    </w:p>
    <w:p w14:paraId="6FCAE41F" w14:textId="559E7052" w:rsidR="00C81BE0" w:rsidRDefault="00117186" w:rsidP="00C81BE0">
      <w:pPr>
        <w:ind w:left="720"/>
        <w:jc w:val="both"/>
        <w:rPr>
          <w:rFonts w:ascii="Verdana" w:hAnsi="Verdana"/>
        </w:rPr>
      </w:pPr>
      <w:r>
        <w:rPr>
          <w:rFonts w:ascii="Verdana" w:hAnsi="Verdana"/>
        </w:rPr>
        <w:t xml:space="preserve">Management of the Company is shown as follows: </w:t>
      </w:r>
    </w:p>
    <w:p w14:paraId="0C9A207E" w14:textId="77777777" w:rsidR="00117186" w:rsidRDefault="00117186" w:rsidP="00117186">
      <w:pPr>
        <w:ind w:left="720"/>
        <w:jc w:val="both"/>
        <w:rPr>
          <w:rFonts w:ascii="Verdana" w:hAnsi="Verdana"/>
        </w:rPr>
      </w:pPr>
    </w:p>
    <w:tbl>
      <w:tblPr>
        <w:tblW w:w="693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70"/>
        <w:gridCol w:w="3060"/>
      </w:tblGrid>
      <w:tr w:rsidR="00BD1965" w:rsidRPr="00891D36" w14:paraId="40728DA1" w14:textId="77777777" w:rsidTr="00BD1965">
        <w:trPr>
          <w:trHeight w:val="341"/>
        </w:trPr>
        <w:tc>
          <w:tcPr>
            <w:tcW w:w="3870" w:type="dxa"/>
            <w:shd w:val="clear" w:color="auto" w:fill="auto"/>
            <w:vAlign w:val="center"/>
            <w:hideMark/>
          </w:tcPr>
          <w:p w14:paraId="4E798E74" w14:textId="77777777" w:rsidR="00BD1965" w:rsidRPr="00891D36" w:rsidRDefault="00BD1965" w:rsidP="00DA01C7">
            <w:pPr>
              <w:jc w:val="center"/>
              <w:rPr>
                <w:rFonts w:ascii="Verdana" w:hAnsi="Verdana" w:cs="Calibri"/>
                <w:b/>
                <w:bCs/>
                <w:color w:val="000000"/>
              </w:rPr>
            </w:pPr>
            <w:r w:rsidRPr="00F14BE5">
              <w:rPr>
                <w:rFonts w:ascii="Verdana" w:hAnsi="Verdana" w:cs="Calibri"/>
                <w:b/>
                <w:bCs/>
                <w:color w:val="000000"/>
              </w:rPr>
              <w:t xml:space="preserve">Name </w:t>
            </w:r>
          </w:p>
        </w:tc>
        <w:tc>
          <w:tcPr>
            <w:tcW w:w="3060" w:type="dxa"/>
            <w:shd w:val="clear" w:color="auto" w:fill="auto"/>
            <w:vAlign w:val="center"/>
            <w:hideMark/>
          </w:tcPr>
          <w:p w14:paraId="285ADA39" w14:textId="77777777" w:rsidR="00BD1965" w:rsidRPr="00891D36" w:rsidRDefault="00BD1965" w:rsidP="00DA01C7">
            <w:pPr>
              <w:jc w:val="center"/>
              <w:rPr>
                <w:rFonts w:ascii="Verdana" w:hAnsi="Verdana" w:cs="Calibri"/>
                <w:b/>
                <w:bCs/>
                <w:color w:val="000000"/>
              </w:rPr>
            </w:pPr>
            <w:r w:rsidRPr="00891D36">
              <w:rPr>
                <w:rFonts w:ascii="Verdana" w:hAnsi="Verdana" w:cs="Calibri"/>
                <w:b/>
                <w:bCs/>
                <w:color w:val="000000"/>
              </w:rPr>
              <w:t>Position</w:t>
            </w:r>
            <w:r w:rsidRPr="00891D36">
              <w:rPr>
                <w:rFonts w:ascii="Verdana" w:hAnsi="Verdana" w:cs="Calibri"/>
                <w:b/>
                <w:bCs/>
                <w:color w:val="000000"/>
              </w:rPr>
              <w:br/>
            </w:r>
          </w:p>
        </w:tc>
      </w:tr>
      <w:tr w:rsidR="00BD1965" w:rsidRPr="00891D36" w14:paraId="3AF24435" w14:textId="77777777" w:rsidTr="00BD1965">
        <w:trPr>
          <w:trHeight w:val="170"/>
        </w:trPr>
        <w:tc>
          <w:tcPr>
            <w:tcW w:w="3870" w:type="dxa"/>
            <w:shd w:val="clear" w:color="auto" w:fill="auto"/>
            <w:hideMark/>
          </w:tcPr>
          <w:p w14:paraId="05B039ED" w14:textId="77777777" w:rsidR="00BD1965" w:rsidRPr="00891D36" w:rsidRDefault="00BD1965" w:rsidP="00DA01C7">
            <w:pPr>
              <w:rPr>
                <w:rFonts w:ascii="Verdana" w:hAnsi="Verdana" w:cs="Calibri"/>
              </w:rPr>
            </w:pPr>
            <w:r w:rsidRPr="00891D36">
              <w:rPr>
                <w:rFonts w:ascii="Verdana" w:hAnsi="Verdana" w:cs="Calibri"/>
              </w:rPr>
              <w:t>Ranjan</w:t>
            </w:r>
            <w:r w:rsidRPr="00F14BE5">
              <w:rPr>
                <w:rFonts w:ascii="Verdana" w:hAnsi="Verdana" w:cs="Calibri"/>
              </w:rPr>
              <w:t xml:space="preserve"> </w:t>
            </w:r>
            <w:proofErr w:type="spellStart"/>
            <w:r w:rsidRPr="00891D36">
              <w:rPr>
                <w:rFonts w:ascii="Verdana" w:hAnsi="Verdana" w:cs="Calibri"/>
              </w:rPr>
              <w:t>Tikam</w:t>
            </w:r>
            <w:proofErr w:type="spellEnd"/>
            <w:r w:rsidRPr="00F14BE5">
              <w:rPr>
                <w:rFonts w:ascii="Verdana" w:hAnsi="Verdana" w:cs="Calibri"/>
              </w:rPr>
              <w:t xml:space="preserve"> </w:t>
            </w:r>
            <w:r w:rsidRPr="00891D36">
              <w:rPr>
                <w:rFonts w:ascii="Verdana" w:hAnsi="Verdana" w:cs="Calibri"/>
              </w:rPr>
              <w:t>Mahtani</w:t>
            </w:r>
          </w:p>
        </w:tc>
        <w:tc>
          <w:tcPr>
            <w:tcW w:w="3060" w:type="dxa"/>
            <w:shd w:val="clear" w:color="auto" w:fill="auto"/>
            <w:hideMark/>
          </w:tcPr>
          <w:p w14:paraId="54AAE3CE" w14:textId="18B5285E" w:rsidR="00BD1965" w:rsidRPr="00891D36" w:rsidRDefault="00BD1965" w:rsidP="00BD1965">
            <w:pPr>
              <w:jc w:val="center"/>
              <w:rPr>
                <w:rFonts w:ascii="Verdana" w:hAnsi="Verdana" w:cs="Calibri"/>
              </w:rPr>
            </w:pPr>
            <w:r w:rsidRPr="00891D36">
              <w:rPr>
                <w:rFonts w:ascii="Verdana" w:hAnsi="Verdana" w:cs="Calibri"/>
              </w:rPr>
              <w:t>Chairman</w:t>
            </w:r>
          </w:p>
        </w:tc>
      </w:tr>
      <w:tr w:rsidR="00BD1965" w:rsidRPr="00891D36" w14:paraId="216C299D" w14:textId="77777777" w:rsidTr="00BD1965">
        <w:trPr>
          <w:trHeight w:val="50"/>
        </w:trPr>
        <w:tc>
          <w:tcPr>
            <w:tcW w:w="3870" w:type="dxa"/>
            <w:shd w:val="clear" w:color="auto" w:fill="auto"/>
            <w:hideMark/>
          </w:tcPr>
          <w:p w14:paraId="7B2F6E15" w14:textId="77777777" w:rsidR="00BD1965" w:rsidRPr="00891D36" w:rsidRDefault="00BD1965" w:rsidP="00DA01C7">
            <w:pPr>
              <w:rPr>
                <w:rFonts w:ascii="Verdana" w:hAnsi="Verdana" w:cs="Calibri"/>
              </w:rPr>
            </w:pPr>
            <w:r w:rsidRPr="00891D36">
              <w:rPr>
                <w:rFonts w:ascii="Verdana" w:hAnsi="Verdana" w:cs="Calibri"/>
              </w:rPr>
              <w:lastRenderedPageBreak/>
              <w:t>Dinesh</w:t>
            </w:r>
            <w:r w:rsidRPr="00F14BE5">
              <w:rPr>
                <w:rFonts w:ascii="Verdana" w:hAnsi="Verdana" w:cs="Calibri"/>
              </w:rPr>
              <w:t xml:space="preserve"> </w:t>
            </w:r>
            <w:proofErr w:type="spellStart"/>
            <w:r w:rsidRPr="00891D36">
              <w:rPr>
                <w:rFonts w:ascii="Verdana" w:hAnsi="Verdana" w:cs="Calibri"/>
              </w:rPr>
              <w:t>Gope</w:t>
            </w:r>
            <w:proofErr w:type="spellEnd"/>
            <w:r w:rsidRPr="00F14BE5">
              <w:rPr>
                <w:rFonts w:ascii="Verdana" w:hAnsi="Verdana" w:cs="Calibri"/>
              </w:rPr>
              <w:t xml:space="preserve"> </w:t>
            </w:r>
            <w:r w:rsidRPr="00891D36">
              <w:rPr>
                <w:rFonts w:ascii="Verdana" w:hAnsi="Verdana" w:cs="Calibri"/>
              </w:rPr>
              <w:t>Virwani</w:t>
            </w:r>
          </w:p>
        </w:tc>
        <w:tc>
          <w:tcPr>
            <w:tcW w:w="3060" w:type="dxa"/>
            <w:shd w:val="clear" w:color="auto" w:fill="auto"/>
            <w:hideMark/>
          </w:tcPr>
          <w:p w14:paraId="659F0ABF" w14:textId="78DA6819" w:rsidR="00BD1965" w:rsidRPr="00891D36" w:rsidRDefault="00BD1965" w:rsidP="00BD1965">
            <w:pPr>
              <w:jc w:val="center"/>
              <w:rPr>
                <w:rFonts w:ascii="Verdana" w:hAnsi="Verdana" w:cs="Calibri"/>
              </w:rPr>
            </w:pPr>
            <w:r w:rsidRPr="00891D36">
              <w:rPr>
                <w:rFonts w:ascii="Verdana" w:hAnsi="Verdana" w:cs="Calibri"/>
              </w:rPr>
              <w:t>Managing Director</w:t>
            </w:r>
          </w:p>
        </w:tc>
      </w:tr>
      <w:tr w:rsidR="00BD1965" w:rsidRPr="00891D36" w14:paraId="14993AAB" w14:textId="77777777" w:rsidTr="00BD1965">
        <w:trPr>
          <w:trHeight w:val="143"/>
        </w:trPr>
        <w:tc>
          <w:tcPr>
            <w:tcW w:w="3870" w:type="dxa"/>
            <w:shd w:val="clear" w:color="auto" w:fill="auto"/>
            <w:hideMark/>
          </w:tcPr>
          <w:p w14:paraId="4D8538E9" w14:textId="77777777" w:rsidR="00BD1965" w:rsidRPr="00891D36" w:rsidRDefault="00BD1965" w:rsidP="00DA01C7">
            <w:pPr>
              <w:rPr>
                <w:rFonts w:ascii="Verdana" w:hAnsi="Verdana" w:cs="Calibri"/>
              </w:rPr>
            </w:pPr>
            <w:r w:rsidRPr="00891D36">
              <w:rPr>
                <w:rFonts w:ascii="Verdana" w:hAnsi="Verdana" w:cs="Calibri"/>
              </w:rPr>
              <w:t>Sunil</w:t>
            </w:r>
            <w:r w:rsidRPr="00F14BE5">
              <w:rPr>
                <w:rFonts w:ascii="Verdana" w:hAnsi="Verdana" w:cs="Calibri"/>
              </w:rPr>
              <w:t xml:space="preserve"> </w:t>
            </w:r>
            <w:proofErr w:type="spellStart"/>
            <w:r w:rsidRPr="00891D36">
              <w:rPr>
                <w:rFonts w:ascii="Verdana" w:hAnsi="Verdana" w:cs="Calibri"/>
              </w:rPr>
              <w:t>Daulatram</w:t>
            </w:r>
            <w:proofErr w:type="spellEnd"/>
            <w:r w:rsidRPr="00F14BE5">
              <w:rPr>
                <w:rFonts w:ascii="Verdana" w:hAnsi="Verdana" w:cs="Calibri"/>
              </w:rPr>
              <w:t xml:space="preserve"> </w:t>
            </w:r>
            <w:r w:rsidRPr="00891D36">
              <w:rPr>
                <w:rFonts w:ascii="Verdana" w:hAnsi="Verdana" w:cs="Calibri"/>
              </w:rPr>
              <w:t>Daryanani</w:t>
            </w:r>
          </w:p>
        </w:tc>
        <w:tc>
          <w:tcPr>
            <w:tcW w:w="3060" w:type="dxa"/>
            <w:shd w:val="clear" w:color="auto" w:fill="auto"/>
            <w:hideMark/>
          </w:tcPr>
          <w:p w14:paraId="0AE52A6C" w14:textId="6DD891FF" w:rsidR="00BD1965" w:rsidRPr="00891D36" w:rsidRDefault="00BD1965" w:rsidP="00BD1965">
            <w:pPr>
              <w:jc w:val="center"/>
              <w:rPr>
                <w:rFonts w:ascii="Verdana" w:hAnsi="Verdana" w:cs="Calibri"/>
              </w:rPr>
            </w:pPr>
            <w:r w:rsidRPr="00891D36">
              <w:rPr>
                <w:rFonts w:ascii="Verdana" w:hAnsi="Verdana" w:cs="Calibri"/>
              </w:rPr>
              <w:t>Director</w:t>
            </w:r>
          </w:p>
        </w:tc>
      </w:tr>
      <w:tr w:rsidR="00BD1965" w:rsidRPr="00891D36" w14:paraId="7232EE90" w14:textId="77777777" w:rsidTr="00BD1965">
        <w:trPr>
          <w:trHeight w:val="50"/>
        </w:trPr>
        <w:tc>
          <w:tcPr>
            <w:tcW w:w="3870" w:type="dxa"/>
            <w:shd w:val="clear" w:color="auto" w:fill="auto"/>
            <w:hideMark/>
          </w:tcPr>
          <w:p w14:paraId="556C65E5" w14:textId="77777777" w:rsidR="00BD1965" w:rsidRPr="00891D36" w:rsidRDefault="00BD1965" w:rsidP="00DA01C7">
            <w:pPr>
              <w:rPr>
                <w:rFonts w:ascii="Verdana" w:hAnsi="Verdana" w:cs="Calibri"/>
              </w:rPr>
            </w:pPr>
            <w:r w:rsidRPr="00891D36">
              <w:rPr>
                <w:rFonts w:ascii="Verdana" w:hAnsi="Verdana" w:cs="Calibri"/>
              </w:rPr>
              <w:t>Tanvir Ahmed</w:t>
            </w:r>
          </w:p>
        </w:tc>
        <w:tc>
          <w:tcPr>
            <w:tcW w:w="3060" w:type="dxa"/>
            <w:shd w:val="clear" w:color="auto" w:fill="auto"/>
            <w:hideMark/>
          </w:tcPr>
          <w:p w14:paraId="3A8DEFBD" w14:textId="77777777" w:rsidR="00BD1965" w:rsidRPr="00891D36" w:rsidRDefault="00BD1965" w:rsidP="00BD1965">
            <w:pPr>
              <w:jc w:val="center"/>
              <w:rPr>
                <w:rFonts w:ascii="Verdana" w:hAnsi="Verdana" w:cs="Calibri"/>
              </w:rPr>
            </w:pPr>
            <w:r w:rsidRPr="00891D36">
              <w:rPr>
                <w:rFonts w:ascii="Verdana" w:hAnsi="Verdana" w:cs="Calibri"/>
              </w:rPr>
              <w:t>Non-executive Director</w:t>
            </w:r>
          </w:p>
        </w:tc>
      </w:tr>
    </w:tbl>
    <w:p w14:paraId="29ACC9FF" w14:textId="77777777" w:rsidR="00FC2B5D" w:rsidRPr="00E67E7E" w:rsidRDefault="00FC2B5D" w:rsidP="00117186">
      <w:pPr>
        <w:jc w:val="both"/>
        <w:rPr>
          <w:rFonts w:ascii="Verdana" w:hAnsi="Verdana"/>
        </w:rPr>
      </w:pPr>
    </w:p>
    <w:p w14:paraId="5FA50608" w14:textId="6E18AE67" w:rsidR="00803A7E" w:rsidRDefault="00117186" w:rsidP="00F866AB">
      <w:pPr>
        <w:ind w:left="720"/>
        <w:jc w:val="both"/>
        <w:rPr>
          <w:rFonts w:ascii="Verdana" w:hAnsi="Verdana"/>
        </w:rPr>
      </w:pPr>
      <w:r>
        <w:rPr>
          <w:rFonts w:ascii="Verdana" w:hAnsi="Verdana"/>
        </w:rPr>
        <w:t>Detailed m</w:t>
      </w:r>
      <w:r w:rsidR="00641D43" w:rsidRPr="00F506C7">
        <w:rPr>
          <w:rFonts w:ascii="Verdana" w:hAnsi="Verdana"/>
        </w:rPr>
        <w:t xml:space="preserve">anagement information </w:t>
      </w:r>
      <w:r w:rsidR="00EC02C8" w:rsidRPr="00F506C7">
        <w:rPr>
          <w:rFonts w:ascii="Verdana" w:hAnsi="Verdana"/>
        </w:rPr>
        <w:t xml:space="preserve">can be accessed through the following link: </w:t>
      </w:r>
    </w:p>
    <w:p w14:paraId="43E79390" w14:textId="77777777" w:rsidR="00842A09" w:rsidRPr="00842A09" w:rsidRDefault="00842A09" w:rsidP="00842A09">
      <w:pPr>
        <w:ind w:left="720"/>
        <w:rPr>
          <w:rFonts w:ascii="Verdana" w:hAnsi="Verdana" w:cs="Arial"/>
          <w:sz w:val="8"/>
          <w:szCs w:val="8"/>
          <w:shd w:val="clear" w:color="auto" w:fill="FFFFFF"/>
        </w:rPr>
      </w:pPr>
    </w:p>
    <w:p w14:paraId="35FB935A" w14:textId="2D845426" w:rsidR="00EC66BE" w:rsidRPr="00F506C7" w:rsidRDefault="0049693C" w:rsidP="00803A7E">
      <w:pPr>
        <w:ind w:left="720"/>
        <w:jc w:val="both"/>
        <w:rPr>
          <w:rFonts w:ascii="Verdana" w:hAnsi="Verdana"/>
        </w:rPr>
      </w:pPr>
      <w:hyperlink r:id="rId11" w:history="1">
        <w:r w:rsidR="00F506C7" w:rsidRPr="00F506C7">
          <w:rPr>
            <w:rStyle w:val="Hyperlink"/>
            <w:rFonts w:ascii="Verdana" w:hAnsi="Verdana"/>
          </w:rPr>
          <w:t>www.epicgroup.global</w:t>
        </w:r>
      </w:hyperlink>
    </w:p>
    <w:p w14:paraId="69071A36" w14:textId="77777777" w:rsidR="00F506C7" w:rsidRPr="00E67E7E" w:rsidRDefault="00F506C7" w:rsidP="00803A7E">
      <w:pPr>
        <w:ind w:left="720"/>
        <w:jc w:val="both"/>
        <w:rPr>
          <w:rFonts w:ascii="Verdana" w:hAnsi="Verdana"/>
        </w:rPr>
      </w:pPr>
    </w:p>
    <w:p w14:paraId="23479845" w14:textId="24CEFA9F" w:rsidR="00EC02C8" w:rsidRPr="00E67E7E" w:rsidRDefault="00EC02C8" w:rsidP="00101EBA">
      <w:pPr>
        <w:ind w:left="720"/>
        <w:jc w:val="both"/>
        <w:rPr>
          <w:rFonts w:ascii="Verdana" w:hAnsi="Verdana"/>
        </w:rPr>
      </w:pPr>
      <w:r w:rsidRPr="00E67E7E">
        <w:rPr>
          <w:rFonts w:ascii="Verdana" w:hAnsi="Verdana"/>
        </w:rPr>
        <w:t>Based on discussion with the management we have noted the following:</w:t>
      </w:r>
    </w:p>
    <w:p w14:paraId="0CA96624" w14:textId="77777777" w:rsidR="00EC02C8" w:rsidRPr="00E67E7E" w:rsidRDefault="00EC02C8" w:rsidP="001329B3">
      <w:pPr>
        <w:jc w:val="both"/>
        <w:rPr>
          <w:rFonts w:ascii="Verdana" w:hAnsi="Verdana"/>
        </w:rPr>
      </w:pPr>
    </w:p>
    <w:p w14:paraId="59C019BD" w14:textId="5C93B103" w:rsidR="00EC02C8" w:rsidRPr="00E67E7E" w:rsidRDefault="00EC02C8" w:rsidP="00101EBA">
      <w:pPr>
        <w:pStyle w:val="ListParagraph"/>
        <w:numPr>
          <w:ilvl w:val="0"/>
          <w:numId w:val="4"/>
        </w:numPr>
        <w:spacing w:after="120"/>
        <w:ind w:left="1080"/>
        <w:contextualSpacing w:val="0"/>
        <w:jc w:val="both"/>
        <w:rPr>
          <w:rFonts w:ascii="Verdana" w:hAnsi="Verdana"/>
          <w:sz w:val="24"/>
          <w:szCs w:val="24"/>
        </w:rPr>
      </w:pPr>
      <w:r w:rsidRPr="00E67E7E">
        <w:rPr>
          <w:rFonts w:ascii="Verdana" w:hAnsi="Verdana"/>
          <w:sz w:val="24"/>
          <w:szCs w:val="24"/>
        </w:rPr>
        <w:t xml:space="preserve">The </w:t>
      </w:r>
      <w:r w:rsidR="00D76CE6">
        <w:rPr>
          <w:rFonts w:ascii="Verdana" w:hAnsi="Verdana"/>
          <w:sz w:val="24"/>
          <w:szCs w:val="24"/>
        </w:rPr>
        <w:t>entity</w:t>
      </w:r>
      <w:r w:rsidR="00E047A7" w:rsidRPr="00E67E7E">
        <w:rPr>
          <w:rFonts w:ascii="Verdana" w:hAnsi="Verdana"/>
          <w:sz w:val="24"/>
          <w:szCs w:val="24"/>
        </w:rPr>
        <w:t xml:space="preserve"> </w:t>
      </w:r>
      <w:r w:rsidRPr="00E67E7E">
        <w:rPr>
          <w:rFonts w:ascii="Verdana" w:hAnsi="Verdana"/>
          <w:sz w:val="24"/>
          <w:szCs w:val="24"/>
        </w:rPr>
        <w:t xml:space="preserve">has a defined management structure and properly defined allocation of responsibility and accountability. </w:t>
      </w:r>
    </w:p>
    <w:p w14:paraId="39A85D60" w14:textId="458F63EC" w:rsidR="00EC02C8" w:rsidRPr="00E67E7E" w:rsidRDefault="00D76CE6" w:rsidP="00101EBA">
      <w:pPr>
        <w:pStyle w:val="ListParagraph"/>
        <w:numPr>
          <w:ilvl w:val="0"/>
          <w:numId w:val="4"/>
        </w:numPr>
        <w:spacing w:after="120"/>
        <w:ind w:left="1080"/>
        <w:contextualSpacing w:val="0"/>
        <w:jc w:val="both"/>
        <w:rPr>
          <w:rFonts w:ascii="Verdana" w:hAnsi="Verdana"/>
          <w:sz w:val="24"/>
          <w:szCs w:val="24"/>
        </w:rPr>
      </w:pPr>
      <w:r>
        <w:rPr>
          <w:rFonts w:ascii="Verdana" w:hAnsi="Verdana"/>
          <w:sz w:val="24"/>
          <w:szCs w:val="24"/>
        </w:rPr>
        <w:t xml:space="preserve">Entity </w:t>
      </w:r>
      <w:r w:rsidR="00EC02C8" w:rsidRPr="00E67E7E">
        <w:rPr>
          <w:rFonts w:ascii="Verdana" w:hAnsi="Verdana"/>
          <w:sz w:val="24"/>
          <w:szCs w:val="24"/>
        </w:rPr>
        <w:t xml:space="preserve">and the reporting structure </w:t>
      </w:r>
      <w:r w:rsidR="00560E90" w:rsidRPr="00E67E7E">
        <w:rPr>
          <w:rFonts w:ascii="Verdana" w:hAnsi="Verdana"/>
          <w:sz w:val="24"/>
          <w:szCs w:val="24"/>
        </w:rPr>
        <w:t xml:space="preserve">does not prima facie appear to be </w:t>
      </w:r>
      <w:r w:rsidR="00EC02C8" w:rsidRPr="00E67E7E">
        <w:rPr>
          <w:rFonts w:ascii="Verdana" w:hAnsi="Verdana"/>
          <w:sz w:val="24"/>
          <w:szCs w:val="24"/>
        </w:rPr>
        <w:t>unduly complex.</w:t>
      </w:r>
    </w:p>
    <w:p w14:paraId="701D59B3" w14:textId="77777777" w:rsidR="00EC02C8" w:rsidRPr="00E67E7E" w:rsidRDefault="00EC02C8" w:rsidP="00092102">
      <w:pPr>
        <w:pStyle w:val="ListParagraph"/>
        <w:numPr>
          <w:ilvl w:val="0"/>
          <w:numId w:val="4"/>
        </w:numPr>
        <w:ind w:left="1080"/>
        <w:jc w:val="both"/>
        <w:rPr>
          <w:rFonts w:ascii="Verdana" w:hAnsi="Verdana"/>
          <w:sz w:val="24"/>
          <w:szCs w:val="24"/>
        </w:rPr>
      </w:pPr>
      <w:r w:rsidRPr="00E67E7E">
        <w:rPr>
          <w:rFonts w:ascii="Verdana" w:hAnsi="Verdana"/>
          <w:sz w:val="24"/>
          <w:szCs w:val="24"/>
        </w:rPr>
        <w:t xml:space="preserve">Management capability and style is consistent with the size and growth of the business  </w:t>
      </w:r>
    </w:p>
    <w:p w14:paraId="31070E88" w14:textId="77777777" w:rsidR="00EC02C8" w:rsidRPr="00E67E7E" w:rsidRDefault="00EC02C8" w:rsidP="001329B3">
      <w:pPr>
        <w:contextualSpacing/>
        <w:jc w:val="both"/>
        <w:rPr>
          <w:rFonts w:ascii="Verdana" w:hAnsi="Verdana"/>
        </w:rPr>
      </w:pPr>
    </w:p>
    <w:p w14:paraId="76C53D76" w14:textId="69D3EEDD" w:rsidR="00EC02C8" w:rsidRPr="00E67E7E" w:rsidRDefault="00EC02C8" w:rsidP="00101EBA">
      <w:pPr>
        <w:autoSpaceDE w:val="0"/>
        <w:autoSpaceDN w:val="0"/>
        <w:adjustRightInd w:val="0"/>
        <w:ind w:left="720"/>
        <w:jc w:val="both"/>
        <w:rPr>
          <w:rFonts w:ascii="Verdana" w:hAnsi="Verdana"/>
        </w:rPr>
      </w:pPr>
      <w:r w:rsidRPr="00E67E7E">
        <w:rPr>
          <w:rFonts w:ascii="Verdana" w:hAnsi="Verdana"/>
        </w:rPr>
        <w:t xml:space="preserve">Considering the size of the </w:t>
      </w:r>
      <w:r w:rsidR="00D76CE6">
        <w:rPr>
          <w:rFonts w:ascii="Verdana" w:hAnsi="Verdana"/>
        </w:rPr>
        <w:t>Entity</w:t>
      </w:r>
      <w:r w:rsidRPr="00E67E7E">
        <w:rPr>
          <w:rFonts w:ascii="Verdana" w:hAnsi="Verdana"/>
        </w:rPr>
        <w:t xml:space="preserve">, the capability and functionality of the management is adequate and the same is under the supervision of the senior management/person in charge of governance. </w:t>
      </w:r>
      <w:r w:rsidR="007F05C2" w:rsidRPr="00E67E7E">
        <w:rPr>
          <w:rFonts w:ascii="Verdana" w:hAnsi="Verdana"/>
        </w:rPr>
        <w:t>Further</w:t>
      </w:r>
      <w:r w:rsidR="00D62EB0" w:rsidRPr="00E67E7E">
        <w:rPr>
          <w:rFonts w:ascii="Verdana" w:hAnsi="Verdana"/>
        </w:rPr>
        <w:t xml:space="preserve">, </w:t>
      </w:r>
      <w:r w:rsidR="00EC0777" w:rsidRPr="00E67E7E">
        <w:rPr>
          <w:rFonts w:ascii="Verdana" w:hAnsi="Verdana"/>
        </w:rPr>
        <w:t xml:space="preserve">as explained, </w:t>
      </w:r>
      <w:r w:rsidRPr="00E67E7E">
        <w:rPr>
          <w:rFonts w:ascii="Verdana" w:hAnsi="Verdana"/>
        </w:rPr>
        <w:t>there are monitoring mechanisms including period</w:t>
      </w:r>
      <w:r w:rsidR="00D62EB0" w:rsidRPr="00E67E7E">
        <w:rPr>
          <w:rFonts w:ascii="Verdana" w:hAnsi="Verdana"/>
        </w:rPr>
        <w:t xml:space="preserve">ic </w:t>
      </w:r>
      <w:r w:rsidR="00560E90" w:rsidRPr="00E67E7E">
        <w:rPr>
          <w:rFonts w:ascii="Verdana" w:hAnsi="Verdana"/>
        </w:rPr>
        <w:t xml:space="preserve">review of </w:t>
      </w:r>
      <w:r w:rsidR="00D62EB0" w:rsidRPr="00E67E7E">
        <w:rPr>
          <w:rFonts w:ascii="Verdana" w:hAnsi="Verdana"/>
        </w:rPr>
        <w:t>MIS/Financials</w:t>
      </w:r>
      <w:r w:rsidR="00560E90" w:rsidRPr="00E67E7E">
        <w:rPr>
          <w:rFonts w:ascii="Verdana" w:hAnsi="Verdana"/>
        </w:rPr>
        <w:t>.</w:t>
      </w:r>
    </w:p>
    <w:p w14:paraId="07D3D1B4" w14:textId="77777777" w:rsidR="00801D7F" w:rsidRPr="00E67E7E" w:rsidRDefault="00801D7F" w:rsidP="001329B3">
      <w:pPr>
        <w:autoSpaceDE w:val="0"/>
        <w:autoSpaceDN w:val="0"/>
        <w:adjustRightInd w:val="0"/>
        <w:jc w:val="both"/>
        <w:rPr>
          <w:rFonts w:ascii="Verdana" w:eastAsiaTheme="minorHAnsi" w:hAnsi="Verdana"/>
        </w:rPr>
      </w:pPr>
    </w:p>
    <w:p w14:paraId="6420A75A" w14:textId="5C576436" w:rsidR="00EC02C8" w:rsidRPr="00E67E7E" w:rsidRDefault="00EC02C8" w:rsidP="00101EBA">
      <w:pPr>
        <w:spacing w:after="120"/>
        <w:ind w:left="720"/>
        <w:jc w:val="both"/>
        <w:rPr>
          <w:rFonts w:ascii="Verdana" w:hAnsi="Verdana"/>
        </w:rPr>
      </w:pPr>
      <w:r w:rsidRPr="00E67E7E">
        <w:rPr>
          <w:rFonts w:ascii="Verdana" w:hAnsi="Verdana"/>
        </w:rPr>
        <w:t xml:space="preserve">Whether we perceive a higher risk in the form:  </w:t>
      </w:r>
    </w:p>
    <w:p w14:paraId="53C1140A" w14:textId="1A250DBF" w:rsidR="00EC02C8" w:rsidRPr="00E67E7E" w:rsidRDefault="00EC02C8" w:rsidP="00101EBA">
      <w:pPr>
        <w:ind w:left="720"/>
        <w:jc w:val="both"/>
        <w:rPr>
          <w:rFonts w:ascii="Verdana" w:hAnsi="Verdana"/>
        </w:rPr>
      </w:pPr>
      <w:r w:rsidRPr="00E67E7E">
        <w:rPr>
          <w:rFonts w:ascii="Verdana" w:hAnsi="Verdana"/>
        </w:rPr>
        <w:t xml:space="preserve">Client Risk:                                   </w:t>
      </w:r>
      <w:r w:rsidRPr="00E67E7E">
        <w:rPr>
          <w:rFonts w:ascii="Verdana" w:hAnsi="Verdana"/>
          <w:b/>
        </w:rPr>
        <w:t>No</w:t>
      </w:r>
    </w:p>
    <w:p w14:paraId="312AB680" w14:textId="2C647184" w:rsidR="00EC02C8" w:rsidRPr="00E67E7E" w:rsidRDefault="00EC02C8" w:rsidP="00101EBA">
      <w:pPr>
        <w:autoSpaceDE w:val="0"/>
        <w:autoSpaceDN w:val="0"/>
        <w:adjustRightInd w:val="0"/>
        <w:ind w:left="720"/>
        <w:jc w:val="both"/>
        <w:rPr>
          <w:rFonts w:ascii="Verdana" w:hAnsi="Verdana"/>
        </w:rPr>
      </w:pPr>
      <w:r w:rsidRPr="00E67E7E">
        <w:rPr>
          <w:rFonts w:ascii="Verdana" w:hAnsi="Verdana"/>
        </w:rPr>
        <w:t xml:space="preserve">Professional Service Risk:               </w:t>
      </w:r>
      <w:r w:rsidRPr="00E67E7E">
        <w:rPr>
          <w:rFonts w:ascii="Verdana" w:hAnsi="Verdana"/>
          <w:b/>
        </w:rPr>
        <w:t>No</w:t>
      </w:r>
      <w:r w:rsidRPr="00E67E7E">
        <w:rPr>
          <w:rFonts w:ascii="Verdana" w:hAnsi="Verdana"/>
        </w:rPr>
        <w:t xml:space="preserve"> </w:t>
      </w:r>
    </w:p>
    <w:p w14:paraId="4EA8116F" w14:textId="77777777" w:rsidR="00EC02C8" w:rsidRPr="00E67E7E" w:rsidRDefault="00EC02C8" w:rsidP="00101EBA">
      <w:pPr>
        <w:autoSpaceDE w:val="0"/>
        <w:autoSpaceDN w:val="0"/>
        <w:adjustRightInd w:val="0"/>
        <w:ind w:left="720"/>
        <w:jc w:val="both"/>
        <w:rPr>
          <w:rFonts w:ascii="Verdana" w:hAnsi="Verdana"/>
        </w:rPr>
      </w:pPr>
      <w:r w:rsidRPr="00E67E7E">
        <w:rPr>
          <w:rFonts w:ascii="Verdana" w:hAnsi="Verdana"/>
        </w:rPr>
        <w:t xml:space="preserve">Overall Engagement Risk:               </w:t>
      </w:r>
      <w:r w:rsidRPr="00E67E7E">
        <w:rPr>
          <w:rFonts w:ascii="Verdana" w:hAnsi="Verdana"/>
          <w:b/>
        </w:rPr>
        <w:t>No</w:t>
      </w:r>
    </w:p>
    <w:p w14:paraId="5B547AB0" w14:textId="77777777" w:rsidR="00EC02C8" w:rsidRPr="00E67E7E" w:rsidRDefault="00EC02C8" w:rsidP="001329B3">
      <w:pPr>
        <w:autoSpaceDE w:val="0"/>
        <w:autoSpaceDN w:val="0"/>
        <w:adjustRightInd w:val="0"/>
        <w:jc w:val="both"/>
        <w:rPr>
          <w:rFonts w:ascii="Verdana" w:eastAsiaTheme="minorHAnsi" w:hAnsi="Verdana"/>
        </w:rPr>
      </w:pPr>
    </w:p>
    <w:p w14:paraId="52F38ABA" w14:textId="77777777" w:rsidR="00EC02C8" w:rsidRPr="00E67E7E" w:rsidRDefault="00EC02C8" w:rsidP="00101EBA">
      <w:pPr>
        <w:pStyle w:val="ListParagraph"/>
        <w:numPr>
          <w:ilvl w:val="0"/>
          <w:numId w:val="3"/>
        </w:numPr>
        <w:ind w:left="720"/>
        <w:jc w:val="both"/>
        <w:rPr>
          <w:rFonts w:ascii="Verdana" w:hAnsi="Verdana"/>
          <w:b/>
          <w:sz w:val="24"/>
          <w:szCs w:val="24"/>
          <w:u w:val="single"/>
        </w:rPr>
      </w:pPr>
      <w:r w:rsidRPr="00E67E7E">
        <w:rPr>
          <w:rFonts w:ascii="Verdana" w:hAnsi="Verdana"/>
          <w:b/>
          <w:sz w:val="24"/>
          <w:szCs w:val="24"/>
          <w:u w:val="single"/>
        </w:rPr>
        <w:t xml:space="preserve">Nature of the business including the business environment </w:t>
      </w:r>
    </w:p>
    <w:p w14:paraId="641DE4C6" w14:textId="076308F4" w:rsidR="00EC02C8" w:rsidRDefault="00EC02C8" w:rsidP="00BB2553">
      <w:pPr>
        <w:ind w:left="720"/>
        <w:jc w:val="both"/>
        <w:rPr>
          <w:rFonts w:ascii="Verdana" w:hAnsi="Verdana"/>
        </w:rPr>
      </w:pPr>
    </w:p>
    <w:p w14:paraId="7D5B2EBC" w14:textId="3A7FFF2E" w:rsidR="00BB2553" w:rsidRPr="00E67E7E" w:rsidRDefault="006B4FDE" w:rsidP="00BB2553">
      <w:pPr>
        <w:ind w:left="720"/>
        <w:jc w:val="both"/>
        <w:rPr>
          <w:rFonts w:ascii="Verdana" w:hAnsi="Verdana"/>
        </w:rPr>
      </w:pPr>
      <w:r>
        <w:rPr>
          <w:rFonts w:ascii="Verdana" w:hAnsi="Verdana"/>
        </w:rPr>
        <w:t>Cosmopolitan Industries (Pvt.) Limited (</w:t>
      </w:r>
      <w:proofErr w:type="gramStart"/>
      <w:r>
        <w:rPr>
          <w:rFonts w:ascii="Verdana" w:hAnsi="Verdana"/>
        </w:rPr>
        <w:t xml:space="preserve">CIPL) </w:t>
      </w:r>
      <w:r w:rsidR="00BB2553" w:rsidRPr="00BB2553">
        <w:rPr>
          <w:rFonts w:ascii="Verdana" w:hAnsi="Verdana"/>
        </w:rPr>
        <w:t xml:space="preserve"> (</w:t>
      </w:r>
      <w:proofErr w:type="gramEnd"/>
      <w:r w:rsidR="00BB2553" w:rsidRPr="00BB2553">
        <w:rPr>
          <w:rFonts w:ascii="Verdana" w:hAnsi="Verdana"/>
        </w:rPr>
        <w:t>here-in-after referred to as "the Company” or "</w:t>
      </w:r>
      <w:r>
        <w:rPr>
          <w:rFonts w:ascii="Verdana" w:hAnsi="Verdana"/>
        </w:rPr>
        <w:t>CIPL</w:t>
      </w:r>
      <w:r w:rsidR="00BB2553" w:rsidRPr="00BB2553">
        <w:rPr>
          <w:rFonts w:ascii="Verdana" w:hAnsi="Verdana"/>
        </w:rPr>
        <w:t xml:space="preserve">") was incorporated in Dhaka, Bangladesh on </w:t>
      </w:r>
      <w:r w:rsidR="0049693C" w:rsidRPr="0049693C">
        <w:rPr>
          <w:rFonts w:ascii="Verdana" w:hAnsi="Verdana"/>
        </w:rPr>
        <w:t>26</w:t>
      </w:r>
      <w:r w:rsidR="00BB2553" w:rsidRPr="0049693C">
        <w:rPr>
          <w:rFonts w:ascii="Verdana" w:hAnsi="Verdana"/>
        </w:rPr>
        <w:t xml:space="preserve"> </w:t>
      </w:r>
      <w:r w:rsidR="0049693C" w:rsidRPr="0049693C">
        <w:rPr>
          <w:rFonts w:ascii="Verdana" w:hAnsi="Verdana"/>
        </w:rPr>
        <w:t>June</w:t>
      </w:r>
      <w:r w:rsidR="00BB2553" w:rsidRPr="0049693C">
        <w:rPr>
          <w:rFonts w:ascii="Verdana" w:hAnsi="Verdana"/>
        </w:rPr>
        <w:t xml:space="preserve"> </w:t>
      </w:r>
      <w:r w:rsidR="0049693C" w:rsidRPr="0049693C">
        <w:rPr>
          <w:rFonts w:ascii="Verdana" w:hAnsi="Verdana"/>
        </w:rPr>
        <w:t>2005</w:t>
      </w:r>
      <w:r w:rsidR="00BB2553" w:rsidRPr="0049693C">
        <w:rPr>
          <w:rFonts w:ascii="Verdana" w:hAnsi="Verdana"/>
        </w:rPr>
        <w:t xml:space="preserve"> as a private limited company under the Companies Act, 1994.</w:t>
      </w:r>
      <w:r w:rsidR="00BB2553" w:rsidRPr="00BB2553">
        <w:rPr>
          <w:rFonts w:ascii="Verdana" w:hAnsi="Verdana"/>
        </w:rPr>
        <w:t xml:space="preserve"> Currently, the Company is engaged in the production and export of readymade garments. The commercial operations started from 1 </w:t>
      </w:r>
      <w:r w:rsidR="0049693C">
        <w:rPr>
          <w:rFonts w:ascii="Verdana" w:hAnsi="Verdana"/>
        </w:rPr>
        <w:t>November</w:t>
      </w:r>
      <w:r w:rsidR="00BB2553" w:rsidRPr="00BB2553">
        <w:rPr>
          <w:rFonts w:ascii="Verdana" w:hAnsi="Verdana"/>
        </w:rPr>
        <w:t xml:space="preserve"> 200</w:t>
      </w:r>
      <w:r w:rsidR="0049693C">
        <w:rPr>
          <w:rFonts w:ascii="Verdana" w:hAnsi="Verdana"/>
        </w:rPr>
        <w:t>6</w:t>
      </w:r>
      <w:r w:rsidR="00BB2553" w:rsidRPr="00BB2553">
        <w:rPr>
          <w:rFonts w:ascii="Verdana" w:hAnsi="Verdana"/>
        </w:rPr>
        <w:t>. The Company is a subsidiary of Epic Designers Ltd., Hong Kong.</w:t>
      </w:r>
    </w:p>
    <w:p w14:paraId="7286922F" w14:textId="0246F4FD" w:rsidR="00BB2553" w:rsidRPr="00E67E7E" w:rsidRDefault="00BB2553" w:rsidP="00BB2553">
      <w:pPr>
        <w:autoSpaceDE w:val="0"/>
        <w:autoSpaceDN w:val="0"/>
        <w:adjustRightInd w:val="0"/>
        <w:jc w:val="both"/>
        <w:rPr>
          <w:rFonts w:ascii="Verdana" w:hAnsi="Verdana"/>
        </w:rPr>
      </w:pPr>
    </w:p>
    <w:p w14:paraId="7DFAB5FE" w14:textId="77777777" w:rsidR="00EC02C8" w:rsidRPr="00E67E7E" w:rsidRDefault="00EC02C8" w:rsidP="00101EBA">
      <w:pPr>
        <w:ind w:left="720"/>
        <w:jc w:val="both"/>
        <w:rPr>
          <w:rFonts w:ascii="Verdana" w:hAnsi="Verdana"/>
        </w:rPr>
      </w:pPr>
      <w:r w:rsidRPr="00E67E7E">
        <w:rPr>
          <w:rFonts w:ascii="Verdana" w:hAnsi="Verdana"/>
        </w:rPr>
        <w:t>The applicabl</w:t>
      </w:r>
      <w:r w:rsidR="00BC678C" w:rsidRPr="00E67E7E">
        <w:rPr>
          <w:rFonts w:ascii="Verdana" w:hAnsi="Verdana"/>
        </w:rPr>
        <w:t>e Industry and regulatory frame</w:t>
      </w:r>
      <w:r w:rsidRPr="00E67E7E">
        <w:rPr>
          <w:rFonts w:ascii="Verdana" w:hAnsi="Verdana"/>
        </w:rPr>
        <w:t>work are as follows:</w:t>
      </w:r>
    </w:p>
    <w:p w14:paraId="1624D78C" w14:textId="77777777" w:rsidR="00EC02C8" w:rsidRPr="00E67E7E" w:rsidRDefault="00EC02C8" w:rsidP="00101EBA">
      <w:pPr>
        <w:ind w:left="720"/>
        <w:jc w:val="both"/>
        <w:rPr>
          <w:rFonts w:ascii="Verdana" w:hAnsi="Verdana"/>
          <w:b/>
        </w:rPr>
      </w:pPr>
    </w:p>
    <w:p w14:paraId="77B198CE" w14:textId="48D27FB1" w:rsidR="00F34352" w:rsidRPr="00BD1965" w:rsidRDefault="00EC02C8" w:rsidP="00BD1965">
      <w:pPr>
        <w:ind w:left="720"/>
        <w:jc w:val="both"/>
        <w:rPr>
          <w:rFonts w:ascii="Verdana" w:hAnsi="Verdana"/>
        </w:rPr>
      </w:pPr>
      <w:r w:rsidRPr="00E67E7E">
        <w:rPr>
          <w:rFonts w:ascii="Verdana" w:hAnsi="Verdana"/>
          <w:b/>
        </w:rPr>
        <w:t>Industry:</w:t>
      </w:r>
      <w:r w:rsidRPr="00E67E7E">
        <w:rPr>
          <w:rFonts w:ascii="Verdana" w:hAnsi="Verdana"/>
        </w:rPr>
        <w:t xml:space="preserve">    </w:t>
      </w:r>
      <w:r w:rsidR="00D76CE6">
        <w:rPr>
          <w:rFonts w:ascii="Verdana" w:hAnsi="Verdana"/>
        </w:rPr>
        <w:t xml:space="preserve">Readymade garments </w:t>
      </w:r>
    </w:p>
    <w:p w14:paraId="2752EAD7" w14:textId="77777777" w:rsidR="00BB2553" w:rsidRPr="00E67E7E" w:rsidRDefault="00BB2553" w:rsidP="00101EBA">
      <w:pPr>
        <w:ind w:left="720"/>
        <w:jc w:val="both"/>
        <w:rPr>
          <w:rFonts w:ascii="Verdana" w:hAnsi="Verdana"/>
          <w:b/>
        </w:rPr>
      </w:pPr>
    </w:p>
    <w:p w14:paraId="5D6CF98B" w14:textId="77777777" w:rsidR="00D76CE6" w:rsidRDefault="00EC02C8" w:rsidP="00D76CE6">
      <w:pPr>
        <w:spacing w:after="60"/>
        <w:ind w:left="720"/>
        <w:jc w:val="both"/>
        <w:rPr>
          <w:rFonts w:ascii="Verdana" w:hAnsi="Verdana"/>
        </w:rPr>
      </w:pPr>
      <w:r w:rsidRPr="00E67E7E">
        <w:rPr>
          <w:rFonts w:ascii="Verdana" w:hAnsi="Verdana"/>
          <w:b/>
        </w:rPr>
        <w:t>Regulator:</w:t>
      </w:r>
      <w:r w:rsidRPr="00E67E7E">
        <w:rPr>
          <w:rFonts w:ascii="Verdana" w:hAnsi="Verdana"/>
        </w:rPr>
        <w:t xml:space="preserve"> </w:t>
      </w:r>
    </w:p>
    <w:p w14:paraId="3640533D" w14:textId="63CACC6C" w:rsidR="00D76CE6" w:rsidRPr="00D76CE6" w:rsidRDefault="00D76CE6" w:rsidP="00D76CE6">
      <w:pPr>
        <w:pStyle w:val="ListParagraph"/>
        <w:numPr>
          <w:ilvl w:val="0"/>
          <w:numId w:val="6"/>
        </w:numPr>
        <w:ind w:left="2547"/>
        <w:jc w:val="both"/>
        <w:rPr>
          <w:rFonts w:ascii="Verdana" w:hAnsi="Verdana"/>
          <w:sz w:val="24"/>
          <w:szCs w:val="24"/>
        </w:rPr>
      </w:pPr>
      <w:r w:rsidRPr="00D76CE6">
        <w:rPr>
          <w:rFonts w:ascii="Verdana" w:hAnsi="Verdana"/>
          <w:sz w:val="24"/>
          <w:szCs w:val="24"/>
        </w:rPr>
        <w:t xml:space="preserve">Registrar of Joint Stock Companies </w:t>
      </w:r>
      <w:r w:rsidR="002E1AD3">
        <w:rPr>
          <w:rFonts w:ascii="Verdana" w:hAnsi="Verdana"/>
          <w:sz w:val="24"/>
          <w:szCs w:val="24"/>
        </w:rPr>
        <w:t>a</w:t>
      </w:r>
      <w:r w:rsidRPr="00D76CE6">
        <w:rPr>
          <w:rFonts w:ascii="Verdana" w:hAnsi="Verdana"/>
          <w:sz w:val="24"/>
          <w:szCs w:val="24"/>
        </w:rPr>
        <w:t>nd Firms (RJSC)</w:t>
      </w:r>
    </w:p>
    <w:p w14:paraId="35C8E23A" w14:textId="5B193DAB" w:rsidR="00D76CE6" w:rsidRPr="00D76CE6" w:rsidRDefault="00D76CE6" w:rsidP="00D76CE6">
      <w:pPr>
        <w:pStyle w:val="ListParagraph"/>
        <w:numPr>
          <w:ilvl w:val="0"/>
          <w:numId w:val="6"/>
        </w:numPr>
        <w:ind w:left="2547"/>
        <w:jc w:val="both"/>
        <w:rPr>
          <w:rFonts w:ascii="Verdana" w:hAnsi="Verdana"/>
          <w:sz w:val="24"/>
          <w:szCs w:val="24"/>
        </w:rPr>
      </w:pPr>
      <w:r w:rsidRPr="00D76CE6">
        <w:rPr>
          <w:rFonts w:ascii="Verdana" w:hAnsi="Verdana"/>
          <w:sz w:val="24"/>
          <w:szCs w:val="24"/>
        </w:rPr>
        <w:t>National Board of Revenue</w:t>
      </w:r>
      <w:r w:rsidR="00131C5D">
        <w:rPr>
          <w:rFonts w:ascii="Verdana" w:hAnsi="Verdana"/>
          <w:sz w:val="24"/>
          <w:szCs w:val="24"/>
        </w:rPr>
        <w:t xml:space="preserve"> (NBR)</w:t>
      </w:r>
    </w:p>
    <w:p w14:paraId="00255327" w14:textId="77777777" w:rsidR="00F30934" w:rsidRPr="00E67E7E" w:rsidRDefault="00F30934" w:rsidP="001329B3">
      <w:pPr>
        <w:jc w:val="both"/>
        <w:rPr>
          <w:rFonts w:ascii="Verdana" w:hAnsi="Verdana"/>
        </w:rPr>
      </w:pPr>
    </w:p>
    <w:p w14:paraId="32F3B93D" w14:textId="77777777" w:rsidR="00EC02C8" w:rsidRPr="00E67E7E" w:rsidRDefault="00EC02C8" w:rsidP="00101EBA">
      <w:pPr>
        <w:ind w:left="360"/>
        <w:jc w:val="both"/>
        <w:rPr>
          <w:rFonts w:ascii="Verdana" w:hAnsi="Verdana"/>
        </w:rPr>
      </w:pPr>
      <w:r w:rsidRPr="00E67E7E">
        <w:rPr>
          <w:rFonts w:ascii="Verdana" w:hAnsi="Verdana"/>
        </w:rPr>
        <w:lastRenderedPageBreak/>
        <w:t>Considering the Industry and regulatory environment, the following factors have been considered in determination of our Engagement Risk:</w:t>
      </w:r>
    </w:p>
    <w:p w14:paraId="4B162A3C" w14:textId="77777777" w:rsidR="00EC02C8" w:rsidRPr="00E67E7E" w:rsidRDefault="00EC02C8" w:rsidP="001329B3">
      <w:pPr>
        <w:pStyle w:val="ListParagraph"/>
        <w:jc w:val="both"/>
        <w:rPr>
          <w:rFonts w:ascii="Verdana" w:hAnsi="Verdana"/>
          <w:sz w:val="24"/>
          <w:szCs w:val="24"/>
        </w:rPr>
      </w:pPr>
    </w:p>
    <w:p w14:paraId="2C5F1631" w14:textId="6D3BBC72" w:rsidR="006202DC" w:rsidRPr="00E67E7E" w:rsidRDefault="006202DC" w:rsidP="0030355B">
      <w:pPr>
        <w:pStyle w:val="ListParagraph"/>
        <w:numPr>
          <w:ilvl w:val="0"/>
          <w:numId w:val="7"/>
        </w:numPr>
        <w:tabs>
          <w:tab w:val="left" w:pos="0"/>
          <w:tab w:val="left" w:pos="1440"/>
          <w:tab w:val="left" w:pos="2970"/>
          <w:tab w:val="left" w:pos="8910"/>
          <w:tab w:val="left" w:pos="10530"/>
          <w:tab w:val="left" w:pos="12240"/>
          <w:tab w:val="left" w:pos="19800"/>
          <w:tab w:val="left" w:pos="20700"/>
        </w:tabs>
        <w:spacing w:after="120"/>
        <w:ind w:right="230"/>
        <w:contextualSpacing w:val="0"/>
        <w:jc w:val="both"/>
        <w:rPr>
          <w:rFonts w:ascii="Verdana" w:hAnsi="Verdana"/>
          <w:sz w:val="24"/>
          <w:szCs w:val="24"/>
          <w:lang w:val="en-IN"/>
        </w:rPr>
      </w:pPr>
      <w:r w:rsidRPr="00E67E7E">
        <w:rPr>
          <w:rFonts w:ascii="Verdana" w:hAnsi="Verdana"/>
          <w:sz w:val="24"/>
          <w:szCs w:val="24"/>
          <w:lang w:val="en-IN"/>
        </w:rPr>
        <w:t xml:space="preserve">The </w:t>
      </w:r>
      <w:r w:rsidR="00D76CE6">
        <w:rPr>
          <w:rFonts w:ascii="Verdana" w:hAnsi="Verdana"/>
          <w:sz w:val="24"/>
          <w:szCs w:val="24"/>
          <w:lang w:val="en-IN"/>
        </w:rPr>
        <w:t>Entity</w:t>
      </w:r>
      <w:r w:rsidR="00150BA2" w:rsidRPr="00E67E7E">
        <w:rPr>
          <w:rFonts w:ascii="Verdana" w:hAnsi="Verdana"/>
          <w:sz w:val="24"/>
          <w:szCs w:val="24"/>
          <w:lang w:val="en-IN"/>
        </w:rPr>
        <w:t xml:space="preserve"> </w:t>
      </w:r>
      <w:r w:rsidRPr="00E67E7E">
        <w:rPr>
          <w:rFonts w:ascii="Verdana" w:hAnsi="Verdana"/>
          <w:sz w:val="24"/>
          <w:szCs w:val="24"/>
          <w:lang w:val="en-IN"/>
        </w:rPr>
        <w:t xml:space="preserve">is in business of </w:t>
      </w:r>
      <w:r w:rsidR="00D76CE6">
        <w:rPr>
          <w:rFonts w:ascii="Verdana" w:hAnsi="Verdana"/>
          <w:sz w:val="24"/>
          <w:szCs w:val="24"/>
          <w:lang w:val="en-IN"/>
        </w:rPr>
        <w:t>garments</w:t>
      </w:r>
      <w:r w:rsidR="005B0995">
        <w:rPr>
          <w:rFonts w:ascii="Verdana" w:hAnsi="Verdana"/>
          <w:sz w:val="24"/>
          <w:szCs w:val="24"/>
          <w:lang w:val="en-IN"/>
        </w:rPr>
        <w:t xml:space="preserve"> sector.</w:t>
      </w:r>
      <w:r w:rsidRPr="00E67E7E">
        <w:rPr>
          <w:rFonts w:ascii="Verdana" w:hAnsi="Verdana"/>
          <w:sz w:val="24"/>
          <w:szCs w:val="24"/>
          <w:lang w:val="en-IN"/>
        </w:rPr>
        <w:t xml:space="preserve"> </w:t>
      </w:r>
    </w:p>
    <w:p w14:paraId="56E319D6" w14:textId="77777777" w:rsidR="00EC02C8" w:rsidRPr="00E67E7E" w:rsidRDefault="00EC02C8" w:rsidP="0030355B">
      <w:pPr>
        <w:pStyle w:val="ListParagraph"/>
        <w:numPr>
          <w:ilvl w:val="0"/>
          <w:numId w:val="7"/>
        </w:numPr>
        <w:tabs>
          <w:tab w:val="left" w:pos="0"/>
          <w:tab w:val="left" w:pos="1440"/>
          <w:tab w:val="left" w:pos="2970"/>
          <w:tab w:val="left" w:pos="8910"/>
          <w:tab w:val="left" w:pos="10530"/>
          <w:tab w:val="left" w:pos="12240"/>
          <w:tab w:val="left" w:pos="19800"/>
          <w:tab w:val="left" w:pos="20700"/>
        </w:tabs>
        <w:spacing w:after="120"/>
        <w:ind w:right="230"/>
        <w:contextualSpacing w:val="0"/>
        <w:jc w:val="both"/>
        <w:rPr>
          <w:rFonts w:ascii="Verdana" w:hAnsi="Verdana"/>
          <w:sz w:val="24"/>
          <w:szCs w:val="24"/>
        </w:rPr>
      </w:pPr>
      <w:r w:rsidRPr="00E67E7E">
        <w:rPr>
          <w:rFonts w:ascii="Verdana" w:hAnsi="Verdana"/>
          <w:sz w:val="24"/>
          <w:szCs w:val="24"/>
          <w:lang w:val="en-IN"/>
        </w:rPr>
        <w:t>Governmental and statutory regulations</w:t>
      </w:r>
      <w:r w:rsidR="006202DC" w:rsidRPr="00E67E7E">
        <w:rPr>
          <w:rFonts w:ascii="Verdana" w:hAnsi="Verdana"/>
          <w:sz w:val="24"/>
          <w:szCs w:val="24"/>
          <w:lang w:val="en-IN"/>
        </w:rPr>
        <w:t xml:space="preserve"> </w:t>
      </w:r>
      <w:r w:rsidRPr="00E67E7E">
        <w:rPr>
          <w:rFonts w:ascii="Verdana" w:hAnsi="Verdana"/>
          <w:sz w:val="24"/>
          <w:szCs w:val="24"/>
          <w:lang w:val="en-IN"/>
        </w:rPr>
        <w:t>may adversely affect operating results and financial position.</w:t>
      </w:r>
    </w:p>
    <w:p w14:paraId="6162FDE2" w14:textId="72EC883E" w:rsidR="00D71D6D" w:rsidRPr="00E67E7E" w:rsidRDefault="00D76CE6" w:rsidP="0030355B">
      <w:pPr>
        <w:pStyle w:val="ListParagraph"/>
        <w:numPr>
          <w:ilvl w:val="0"/>
          <w:numId w:val="7"/>
        </w:numPr>
        <w:tabs>
          <w:tab w:val="left" w:pos="0"/>
          <w:tab w:val="left" w:pos="1440"/>
          <w:tab w:val="left" w:pos="2970"/>
          <w:tab w:val="left" w:pos="8910"/>
          <w:tab w:val="left" w:pos="10530"/>
          <w:tab w:val="left" w:pos="12240"/>
          <w:tab w:val="left" w:pos="19800"/>
          <w:tab w:val="left" w:pos="20700"/>
        </w:tabs>
        <w:spacing w:after="120"/>
        <w:ind w:right="230"/>
        <w:contextualSpacing w:val="0"/>
        <w:jc w:val="both"/>
        <w:rPr>
          <w:rFonts w:ascii="Verdana" w:hAnsi="Verdana"/>
          <w:sz w:val="24"/>
          <w:szCs w:val="24"/>
        </w:rPr>
      </w:pPr>
      <w:r>
        <w:rPr>
          <w:rFonts w:ascii="Verdana" w:hAnsi="Verdana"/>
          <w:sz w:val="24"/>
          <w:szCs w:val="24"/>
          <w:lang w:val="en-IN"/>
        </w:rPr>
        <w:t>Entity</w:t>
      </w:r>
      <w:r w:rsidR="00D71D6D" w:rsidRPr="00E67E7E">
        <w:rPr>
          <w:rFonts w:ascii="Verdana" w:hAnsi="Verdana"/>
          <w:sz w:val="24"/>
          <w:szCs w:val="24"/>
          <w:lang w:val="en-IN"/>
        </w:rPr>
        <w:t xml:space="preserve"> is subject to ann</w:t>
      </w:r>
      <w:r w:rsidR="00C54B29" w:rsidRPr="00E67E7E">
        <w:rPr>
          <w:rFonts w:ascii="Verdana" w:hAnsi="Verdana"/>
          <w:sz w:val="24"/>
          <w:szCs w:val="24"/>
          <w:lang w:val="en-IN"/>
        </w:rPr>
        <w:t>ual inspection by the regulator</w:t>
      </w:r>
      <w:r w:rsidR="00D71D6D" w:rsidRPr="00E67E7E">
        <w:rPr>
          <w:rFonts w:ascii="Verdana" w:hAnsi="Verdana"/>
          <w:sz w:val="24"/>
          <w:szCs w:val="24"/>
          <w:lang w:val="en-IN"/>
        </w:rPr>
        <w:t xml:space="preserve"> </w:t>
      </w:r>
      <w:proofErr w:type="gramStart"/>
      <w:r w:rsidR="00D71D6D" w:rsidRPr="00E67E7E">
        <w:rPr>
          <w:rFonts w:ascii="Verdana" w:hAnsi="Verdana"/>
          <w:sz w:val="24"/>
          <w:szCs w:val="24"/>
          <w:lang w:val="en-IN"/>
        </w:rPr>
        <w:t>i.e.</w:t>
      </w:r>
      <w:proofErr w:type="gramEnd"/>
      <w:r w:rsidR="00D71D6D" w:rsidRPr="00E67E7E">
        <w:rPr>
          <w:rFonts w:ascii="Verdana" w:hAnsi="Verdana"/>
          <w:sz w:val="24"/>
          <w:szCs w:val="24"/>
          <w:lang w:val="en-IN"/>
        </w:rPr>
        <w:t xml:space="preserve"> </w:t>
      </w:r>
      <w:r w:rsidR="009C1A25" w:rsidRPr="00E67E7E">
        <w:rPr>
          <w:rFonts w:ascii="Verdana" w:hAnsi="Verdana"/>
          <w:sz w:val="24"/>
          <w:szCs w:val="24"/>
          <w:lang w:val="en-IN"/>
        </w:rPr>
        <w:t xml:space="preserve">Bangladesh </w:t>
      </w:r>
      <w:r>
        <w:rPr>
          <w:rFonts w:ascii="Verdana" w:hAnsi="Verdana"/>
          <w:sz w:val="24"/>
          <w:szCs w:val="24"/>
          <w:lang w:val="en-IN"/>
        </w:rPr>
        <w:t>Entity</w:t>
      </w:r>
      <w:r w:rsidR="009C1A25" w:rsidRPr="00E67E7E">
        <w:rPr>
          <w:rFonts w:ascii="Verdana" w:hAnsi="Verdana"/>
          <w:sz w:val="24"/>
          <w:szCs w:val="24"/>
          <w:lang w:val="en-IN"/>
        </w:rPr>
        <w:t>.</w:t>
      </w:r>
    </w:p>
    <w:p w14:paraId="15A45F37" w14:textId="5C39CD20" w:rsidR="00EC02C8" w:rsidRPr="00E67E7E" w:rsidRDefault="00EC02C8" w:rsidP="0030355B">
      <w:pPr>
        <w:pStyle w:val="ListParagraph"/>
        <w:numPr>
          <w:ilvl w:val="0"/>
          <w:numId w:val="7"/>
        </w:numPr>
        <w:tabs>
          <w:tab w:val="left" w:pos="0"/>
          <w:tab w:val="left" w:pos="1440"/>
          <w:tab w:val="left" w:pos="2970"/>
          <w:tab w:val="left" w:pos="8910"/>
          <w:tab w:val="left" w:pos="10530"/>
          <w:tab w:val="left" w:pos="12240"/>
          <w:tab w:val="left" w:pos="19800"/>
          <w:tab w:val="left" w:pos="20700"/>
        </w:tabs>
        <w:spacing w:after="120"/>
        <w:ind w:right="230"/>
        <w:contextualSpacing w:val="0"/>
        <w:jc w:val="both"/>
        <w:rPr>
          <w:rFonts w:ascii="Verdana" w:hAnsi="Verdana"/>
          <w:sz w:val="24"/>
          <w:szCs w:val="24"/>
        </w:rPr>
      </w:pPr>
      <w:r w:rsidRPr="00E67E7E">
        <w:rPr>
          <w:rFonts w:ascii="Verdana" w:hAnsi="Verdana"/>
          <w:sz w:val="24"/>
          <w:szCs w:val="24"/>
        </w:rPr>
        <w:t>Risk of Corruption, Bribery and Corporate Fraud risk (including cyber frauds)</w:t>
      </w:r>
    </w:p>
    <w:p w14:paraId="5DE5720F" w14:textId="77777777" w:rsidR="00EC02C8" w:rsidRPr="00E67E7E" w:rsidRDefault="00EC02C8" w:rsidP="0030355B">
      <w:pPr>
        <w:pStyle w:val="ListParagraph"/>
        <w:numPr>
          <w:ilvl w:val="0"/>
          <w:numId w:val="7"/>
        </w:numPr>
        <w:tabs>
          <w:tab w:val="left" w:pos="0"/>
          <w:tab w:val="left" w:pos="1440"/>
          <w:tab w:val="left" w:pos="2970"/>
          <w:tab w:val="left" w:pos="8910"/>
          <w:tab w:val="left" w:pos="10530"/>
          <w:tab w:val="left" w:pos="12240"/>
          <w:tab w:val="left" w:pos="19800"/>
          <w:tab w:val="left" w:pos="20700"/>
        </w:tabs>
        <w:spacing w:after="120"/>
        <w:ind w:right="230"/>
        <w:contextualSpacing w:val="0"/>
        <w:jc w:val="both"/>
        <w:rPr>
          <w:rFonts w:ascii="Verdana" w:hAnsi="Verdana"/>
          <w:sz w:val="24"/>
          <w:szCs w:val="24"/>
        </w:rPr>
      </w:pPr>
      <w:r w:rsidRPr="00E67E7E">
        <w:rPr>
          <w:rFonts w:ascii="Verdana" w:hAnsi="Verdana"/>
          <w:sz w:val="24"/>
          <w:szCs w:val="24"/>
          <w:lang w:val="en-IN"/>
        </w:rPr>
        <w:t>Increasing competitive Industry Scenario in the Sector.</w:t>
      </w:r>
    </w:p>
    <w:p w14:paraId="5975213C" w14:textId="6B54508A" w:rsidR="00EC02C8" w:rsidRPr="00E67E7E" w:rsidRDefault="00EC02C8" w:rsidP="0030355B">
      <w:pPr>
        <w:pStyle w:val="ListParagraph"/>
        <w:numPr>
          <w:ilvl w:val="0"/>
          <w:numId w:val="7"/>
        </w:numPr>
        <w:tabs>
          <w:tab w:val="left" w:pos="0"/>
          <w:tab w:val="left" w:pos="1440"/>
          <w:tab w:val="left" w:pos="2970"/>
          <w:tab w:val="left" w:pos="8910"/>
          <w:tab w:val="left" w:pos="10530"/>
          <w:tab w:val="left" w:pos="12240"/>
          <w:tab w:val="left" w:pos="19800"/>
          <w:tab w:val="left" w:pos="20700"/>
        </w:tabs>
        <w:spacing w:after="120"/>
        <w:ind w:right="230"/>
        <w:contextualSpacing w:val="0"/>
        <w:jc w:val="both"/>
        <w:rPr>
          <w:rFonts w:ascii="Verdana" w:hAnsi="Verdana"/>
          <w:sz w:val="24"/>
          <w:szCs w:val="24"/>
        </w:rPr>
      </w:pPr>
      <w:r w:rsidRPr="00101EBA">
        <w:rPr>
          <w:rFonts w:ascii="Verdana" w:hAnsi="Verdana"/>
          <w:sz w:val="24"/>
          <w:szCs w:val="24"/>
          <w:lang w:val="en-IN"/>
        </w:rPr>
        <w:t>Evolutions</w:t>
      </w:r>
      <w:r w:rsidRPr="00E67E7E">
        <w:rPr>
          <w:rFonts w:ascii="Verdana" w:hAnsi="Verdana"/>
          <w:sz w:val="24"/>
          <w:szCs w:val="24"/>
        </w:rPr>
        <w:t xml:space="preserve"> of the regulatory policies, </w:t>
      </w:r>
      <w:proofErr w:type="gramStart"/>
      <w:r w:rsidRPr="00E67E7E">
        <w:rPr>
          <w:rFonts w:ascii="Verdana" w:hAnsi="Verdana"/>
          <w:sz w:val="24"/>
          <w:szCs w:val="24"/>
        </w:rPr>
        <w:t>guidance</w:t>
      </w:r>
      <w:proofErr w:type="gramEnd"/>
      <w:r w:rsidRPr="00E67E7E">
        <w:rPr>
          <w:rFonts w:ascii="Verdana" w:hAnsi="Verdana"/>
          <w:sz w:val="24"/>
          <w:szCs w:val="24"/>
        </w:rPr>
        <w:t xml:space="preserve"> and Framework </w:t>
      </w:r>
    </w:p>
    <w:p w14:paraId="7D88E365" w14:textId="05196A44" w:rsidR="00EC02C8" w:rsidRPr="00E67E7E" w:rsidRDefault="00EC02C8" w:rsidP="0030355B">
      <w:pPr>
        <w:pStyle w:val="ListParagraph"/>
        <w:numPr>
          <w:ilvl w:val="0"/>
          <w:numId w:val="7"/>
        </w:numPr>
        <w:tabs>
          <w:tab w:val="left" w:pos="0"/>
          <w:tab w:val="left" w:pos="1440"/>
          <w:tab w:val="left" w:pos="2970"/>
          <w:tab w:val="left" w:pos="8910"/>
          <w:tab w:val="left" w:pos="10530"/>
          <w:tab w:val="left" w:pos="12240"/>
          <w:tab w:val="left" w:pos="19800"/>
          <w:tab w:val="left" w:pos="20700"/>
        </w:tabs>
        <w:spacing w:after="120"/>
        <w:ind w:right="230"/>
        <w:contextualSpacing w:val="0"/>
        <w:jc w:val="both"/>
        <w:rPr>
          <w:rFonts w:ascii="Verdana" w:hAnsi="Verdana"/>
          <w:sz w:val="24"/>
          <w:szCs w:val="24"/>
        </w:rPr>
      </w:pPr>
      <w:r w:rsidRPr="00E67E7E">
        <w:rPr>
          <w:rFonts w:ascii="Verdana" w:hAnsi="Verdana"/>
          <w:sz w:val="24"/>
          <w:szCs w:val="24"/>
        </w:rPr>
        <w:t xml:space="preserve">Fraud </w:t>
      </w:r>
      <w:r w:rsidRPr="00101EBA">
        <w:rPr>
          <w:rFonts w:ascii="Verdana" w:hAnsi="Verdana"/>
          <w:sz w:val="24"/>
          <w:szCs w:val="24"/>
          <w:lang w:val="en-IN"/>
        </w:rPr>
        <w:t>risk</w:t>
      </w:r>
      <w:r w:rsidRPr="00E67E7E">
        <w:rPr>
          <w:rFonts w:ascii="Verdana" w:hAnsi="Verdana"/>
          <w:sz w:val="24"/>
          <w:szCs w:val="24"/>
        </w:rPr>
        <w:t xml:space="preserve"> involve</w:t>
      </w:r>
      <w:r w:rsidR="00325126" w:rsidRPr="00E67E7E">
        <w:rPr>
          <w:rFonts w:ascii="Verdana" w:hAnsi="Verdana"/>
          <w:sz w:val="24"/>
          <w:szCs w:val="24"/>
        </w:rPr>
        <w:t>s</w:t>
      </w:r>
      <w:r w:rsidRPr="00E67E7E">
        <w:rPr>
          <w:rFonts w:ascii="Verdana" w:hAnsi="Verdana"/>
          <w:sz w:val="24"/>
          <w:szCs w:val="24"/>
        </w:rPr>
        <w:t xml:space="preserve"> in the portfolio lending including diversion of funds </w:t>
      </w:r>
    </w:p>
    <w:p w14:paraId="200E529A" w14:textId="1F6B635D" w:rsidR="00560E90" w:rsidRPr="00E67E7E" w:rsidRDefault="00325126" w:rsidP="0030355B">
      <w:pPr>
        <w:pStyle w:val="ListParagraph"/>
        <w:numPr>
          <w:ilvl w:val="0"/>
          <w:numId w:val="7"/>
        </w:numPr>
        <w:tabs>
          <w:tab w:val="left" w:pos="0"/>
          <w:tab w:val="left" w:pos="1440"/>
          <w:tab w:val="left" w:pos="2970"/>
          <w:tab w:val="left" w:pos="8910"/>
          <w:tab w:val="left" w:pos="10530"/>
          <w:tab w:val="left" w:pos="12240"/>
          <w:tab w:val="left" w:pos="19800"/>
          <w:tab w:val="left" w:pos="20700"/>
        </w:tabs>
        <w:ind w:right="237"/>
        <w:jc w:val="both"/>
        <w:rPr>
          <w:rFonts w:ascii="Verdana" w:hAnsi="Verdana"/>
          <w:sz w:val="24"/>
          <w:szCs w:val="24"/>
          <w:lang w:val="en-IN"/>
        </w:rPr>
      </w:pPr>
      <w:r w:rsidRPr="00E67E7E">
        <w:rPr>
          <w:rFonts w:ascii="Verdana" w:hAnsi="Verdana"/>
          <w:sz w:val="24"/>
          <w:szCs w:val="24"/>
          <w:lang w:val="en-IN"/>
        </w:rPr>
        <w:t>T</w:t>
      </w:r>
      <w:r w:rsidR="00560E90" w:rsidRPr="00E67E7E">
        <w:rPr>
          <w:rFonts w:ascii="Verdana" w:hAnsi="Verdana"/>
          <w:sz w:val="24"/>
          <w:szCs w:val="24"/>
          <w:lang w:val="en-IN"/>
        </w:rPr>
        <w:t>errorist attacks, civil disturbances or social unrest cou</w:t>
      </w:r>
      <w:r w:rsidR="008756C9">
        <w:rPr>
          <w:rFonts w:ascii="Verdana" w:hAnsi="Verdana"/>
          <w:sz w:val="24"/>
          <w:szCs w:val="24"/>
          <w:lang w:val="en-IN"/>
        </w:rPr>
        <w:t>ld adversely affect the garments</w:t>
      </w:r>
      <w:r w:rsidR="00560E90" w:rsidRPr="00E67E7E">
        <w:rPr>
          <w:rFonts w:ascii="Verdana" w:hAnsi="Verdana"/>
          <w:sz w:val="24"/>
          <w:szCs w:val="24"/>
          <w:lang w:val="en-IN"/>
        </w:rPr>
        <w:t xml:space="preserve"> markets and consequentially the </w:t>
      </w:r>
      <w:r w:rsidR="00D76CE6">
        <w:rPr>
          <w:rFonts w:ascii="Verdana" w:hAnsi="Verdana"/>
          <w:sz w:val="24"/>
          <w:szCs w:val="24"/>
          <w:lang w:val="en-IN"/>
        </w:rPr>
        <w:t>Entity</w:t>
      </w:r>
      <w:r w:rsidR="00560E90" w:rsidRPr="00E67E7E">
        <w:rPr>
          <w:rFonts w:ascii="Verdana" w:hAnsi="Verdana"/>
          <w:sz w:val="24"/>
          <w:szCs w:val="24"/>
          <w:lang w:val="en-IN"/>
        </w:rPr>
        <w:t>’s operations.</w:t>
      </w:r>
    </w:p>
    <w:p w14:paraId="6083A25A" w14:textId="77777777" w:rsidR="00560E90" w:rsidRPr="00092102" w:rsidRDefault="00560E90" w:rsidP="001329B3">
      <w:pPr>
        <w:pStyle w:val="ListParagraph"/>
        <w:jc w:val="both"/>
        <w:rPr>
          <w:rFonts w:ascii="Verdana" w:hAnsi="Verdana"/>
          <w:sz w:val="18"/>
          <w:szCs w:val="24"/>
          <w:lang w:val="en-IN"/>
        </w:rPr>
      </w:pPr>
    </w:p>
    <w:p w14:paraId="57BE4089" w14:textId="77777777" w:rsidR="00EC02C8" w:rsidRPr="00E67E7E" w:rsidRDefault="00EC02C8" w:rsidP="00092102">
      <w:pPr>
        <w:spacing w:after="120"/>
        <w:ind w:left="720"/>
        <w:jc w:val="both"/>
        <w:rPr>
          <w:rFonts w:ascii="Verdana" w:hAnsi="Verdana"/>
        </w:rPr>
      </w:pPr>
      <w:r w:rsidRPr="00E67E7E">
        <w:rPr>
          <w:rFonts w:ascii="Verdana" w:hAnsi="Verdana"/>
        </w:rPr>
        <w:t xml:space="preserve">Whether we perceive a higher risk in the form:  </w:t>
      </w:r>
    </w:p>
    <w:p w14:paraId="38BE9D43" w14:textId="4C33EEC2" w:rsidR="00EC02C8" w:rsidRPr="00E67E7E" w:rsidRDefault="00EC02C8" w:rsidP="00092102">
      <w:pPr>
        <w:ind w:left="720"/>
        <w:jc w:val="both"/>
        <w:rPr>
          <w:rFonts w:ascii="Verdana" w:hAnsi="Verdana"/>
        </w:rPr>
      </w:pPr>
      <w:r w:rsidRPr="00E67E7E">
        <w:rPr>
          <w:rFonts w:ascii="Verdana" w:hAnsi="Verdana"/>
        </w:rPr>
        <w:t xml:space="preserve">Client Risk:                                   </w:t>
      </w:r>
      <w:r w:rsidR="00885191">
        <w:rPr>
          <w:rFonts w:ascii="Verdana" w:hAnsi="Verdana"/>
        </w:rPr>
        <w:t xml:space="preserve"> </w:t>
      </w:r>
      <w:r w:rsidRPr="00E67E7E">
        <w:rPr>
          <w:rFonts w:ascii="Verdana" w:hAnsi="Verdana"/>
          <w:b/>
          <w:color w:val="000000" w:themeColor="text1"/>
        </w:rPr>
        <w:t>No</w:t>
      </w:r>
    </w:p>
    <w:p w14:paraId="03A3F6D9" w14:textId="0A8C876C" w:rsidR="00EC02C8" w:rsidRPr="00586FA8" w:rsidRDefault="00EC02C8" w:rsidP="00092102">
      <w:pPr>
        <w:autoSpaceDE w:val="0"/>
        <w:autoSpaceDN w:val="0"/>
        <w:adjustRightInd w:val="0"/>
        <w:ind w:left="720"/>
        <w:jc w:val="both"/>
        <w:rPr>
          <w:rFonts w:ascii="Verdana" w:hAnsi="Verdana"/>
          <w:b/>
        </w:rPr>
      </w:pPr>
      <w:r w:rsidRPr="00E67E7E">
        <w:rPr>
          <w:rFonts w:ascii="Verdana" w:hAnsi="Verdana"/>
        </w:rPr>
        <w:t xml:space="preserve">Professional Service Risk:              </w:t>
      </w:r>
      <w:r w:rsidR="00885191">
        <w:rPr>
          <w:rFonts w:ascii="Verdana" w:hAnsi="Verdana"/>
          <w:color w:val="FF0000"/>
        </w:rPr>
        <w:t xml:space="preserve"> </w:t>
      </w:r>
      <w:r w:rsidR="00586FA8" w:rsidRPr="00586FA8">
        <w:rPr>
          <w:rFonts w:ascii="Verdana" w:hAnsi="Verdana"/>
          <w:b/>
        </w:rPr>
        <w:t>No</w:t>
      </w:r>
    </w:p>
    <w:p w14:paraId="44419EB3" w14:textId="400F0964" w:rsidR="00EC02C8" w:rsidRPr="00E67E7E" w:rsidRDefault="00EC02C8" w:rsidP="00092102">
      <w:pPr>
        <w:autoSpaceDE w:val="0"/>
        <w:autoSpaceDN w:val="0"/>
        <w:adjustRightInd w:val="0"/>
        <w:ind w:left="720"/>
        <w:jc w:val="both"/>
        <w:rPr>
          <w:rFonts w:ascii="Verdana" w:hAnsi="Verdana"/>
        </w:rPr>
      </w:pPr>
      <w:r w:rsidRPr="00E67E7E">
        <w:rPr>
          <w:rFonts w:ascii="Verdana" w:hAnsi="Verdana"/>
        </w:rPr>
        <w:t xml:space="preserve">Overall Engagement Risk:              </w:t>
      </w:r>
      <w:r w:rsidRPr="00E67E7E">
        <w:rPr>
          <w:rFonts w:ascii="Verdana" w:hAnsi="Verdana"/>
          <w:color w:val="FF0000"/>
        </w:rPr>
        <w:t xml:space="preserve"> </w:t>
      </w:r>
      <w:r w:rsidR="00586FA8" w:rsidRPr="00586FA8">
        <w:rPr>
          <w:rFonts w:ascii="Verdana" w:hAnsi="Verdana"/>
          <w:b/>
        </w:rPr>
        <w:t>No</w:t>
      </w:r>
    </w:p>
    <w:p w14:paraId="5CDD7991" w14:textId="77777777" w:rsidR="00E858F7" w:rsidRDefault="00E858F7" w:rsidP="001329B3">
      <w:pPr>
        <w:jc w:val="both"/>
        <w:rPr>
          <w:rFonts w:ascii="Verdana" w:hAnsi="Verdana"/>
          <w:b/>
        </w:rPr>
      </w:pPr>
    </w:p>
    <w:p w14:paraId="7162F9DA" w14:textId="77777777" w:rsidR="00EC02C8" w:rsidRPr="00101EBA" w:rsidRDefault="00EC02C8" w:rsidP="00101EBA">
      <w:pPr>
        <w:pStyle w:val="ListParagraph"/>
        <w:numPr>
          <w:ilvl w:val="0"/>
          <w:numId w:val="3"/>
        </w:numPr>
        <w:ind w:left="720"/>
        <w:jc w:val="both"/>
        <w:rPr>
          <w:rFonts w:ascii="Verdana" w:hAnsi="Verdana"/>
          <w:b/>
          <w:sz w:val="24"/>
          <w:szCs w:val="24"/>
          <w:u w:val="single"/>
        </w:rPr>
      </w:pPr>
      <w:r w:rsidRPr="00101EBA">
        <w:rPr>
          <w:rFonts w:ascii="Verdana" w:hAnsi="Verdana"/>
          <w:b/>
          <w:sz w:val="24"/>
          <w:szCs w:val="24"/>
          <w:u w:val="single"/>
        </w:rPr>
        <w:t>Financial results</w:t>
      </w:r>
    </w:p>
    <w:p w14:paraId="7D180785" w14:textId="77777777" w:rsidR="00EC02C8" w:rsidRPr="00E67E7E" w:rsidRDefault="00EC02C8" w:rsidP="001329B3">
      <w:pPr>
        <w:jc w:val="both"/>
        <w:rPr>
          <w:rFonts w:ascii="Verdana" w:hAnsi="Verdana"/>
        </w:rPr>
      </w:pPr>
    </w:p>
    <w:p w14:paraId="6D76EC89" w14:textId="77777777" w:rsidR="00BD1965" w:rsidRPr="0057313B" w:rsidRDefault="00BD1965" w:rsidP="00BD1965">
      <w:pPr>
        <w:pStyle w:val="Default"/>
        <w:ind w:left="720"/>
        <w:jc w:val="both"/>
        <w:rPr>
          <w:rFonts w:ascii="Verdana" w:hAnsi="Verdana" w:cs="Times New Roman"/>
        </w:rPr>
      </w:pPr>
      <w:r w:rsidRPr="0057313B">
        <w:rPr>
          <w:rFonts w:ascii="Verdana" w:hAnsi="Verdana" w:cs="Times New Roman"/>
        </w:rPr>
        <w:t>Analysis of Company’s financial result is as below:</w:t>
      </w:r>
    </w:p>
    <w:p w14:paraId="065D35BD" w14:textId="77777777" w:rsidR="00BD1965" w:rsidRPr="0057313B" w:rsidRDefault="00BD1965" w:rsidP="00BD1965">
      <w:pPr>
        <w:pStyle w:val="Default"/>
        <w:ind w:left="720"/>
        <w:jc w:val="both"/>
        <w:rPr>
          <w:rFonts w:ascii="Verdana" w:hAnsi="Verdana" w:cs="Times New Roman"/>
          <w:sz w:val="14"/>
          <w:szCs w:val="14"/>
        </w:rPr>
      </w:pPr>
    </w:p>
    <w:p w14:paraId="40E351C7" w14:textId="6DB9E4B9" w:rsidR="00BD1965" w:rsidRPr="00FA751C" w:rsidRDefault="00BD1965" w:rsidP="00BD1965">
      <w:pPr>
        <w:pStyle w:val="Default"/>
        <w:ind w:left="720"/>
        <w:jc w:val="both"/>
        <w:rPr>
          <w:rFonts w:ascii="Verdana" w:hAnsi="Verdana" w:cs="Times New Roman"/>
          <w:b/>
        </w:rPr>
      </w:pPr>
      <w:r w:rsidRPr="00FA751C">
        <w:rPr>
          <w:rFonts w:ascii="Verdana" w:hAnsi="Verdana" w:cs="Times New Roman"/>
          <w:b/>
        </w:rPr>
        <w:t xml:space="preserve">Operating results </w:t>
      </w:r>
      <w:r w:rsidR="00EE74CE">
        <w:rPr>
          <w:rFonts w:ascii="Verdana" w:hAnsi="Verdana" w:cs="Times New Roman"/>
          <w:b/>
        </w:rPr>
        <w:t>in 2021 and 2020</w:t>
      </w:r>
      <w:r w:rsidRPr="00FA751C">
        <w:rPr>
          <w:rFonts w:ascii="Verdana" w:hAnsi="Verdana" w:cs="Times New Roman"/>
          <w:b/>
        </w:rPr>
        <w:t>:</w:t>
      </w:r>
    </w:p>
    <w:p w14:paraId="6BC50905" w14:textId="77777777" w:rsidR="00BD1965" w:rsidRPr="00FA751C" w:rsidRDefault="00BD1965" w:rsidP="00BD1965">
      <w:pPr>
        <w:pStyle w:val="Default"/>
        <w:ind w:left="720"/>
        <w:jc w:val="both"/>
        <w:rPr>
          <w:rFonts w:ascii="Verdana" w:hAnsi="Verdana" w:cs="Times New Roman"/>
          <w:b/>
        </w:rPr>
      </w:pPr>
    </w:p>
    <w:tbl>
      <w:tblPr>
        <w:tblW w:w="4614" w:type="pct"/>
        <w:tblInd w:w="715" w:type="dxa"/>
        <w:tblLook w:val="04A0" w:firstRow="1" w:lastRow="0" w:firstColumn="1" w:lastColumn="0" w:noHBand="0" w:noVBand="1"/>
      </w:tblPr>
      <w:tblGrid>
        <w:gridCol w:w="4185"/>
        <w:gridCol w:w="2336"/>
        <w:gridCol w:w="2267"/>
      </w:tblGrid>
      <w:tr w:rsidR="00BD1965" w:rsidRPr="00FA751C" w14:paraId="445E7427" w14:textId="77777777" w:rsidTr="00DA01C7">
        <w:trPr>
          <w:trHeight w:val="268"/>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vAlign w:val="bottom"/>
          </w:tcPr>
          <w:p w14:paraId="00F7FAD5" w14:textId="77777777" w:rsidR="00BD1965" w:rsidRPr="00FA751C" w:rsidRDefault="00BD1965" w:rsidP="00DA01C7">
            <w:pPr>
              <w:jc w:val="center"/>
              <w:rPr>
                <w:rFonts w:ascii="Verdana" w:hAnsi="Verdana" w:cs="Calibri"/>
                <w:b/>
                <w:bCs/>
                <w:color w:val="000000"/>
              </w:rPr>
            </w:pPr>
            <w:r w:rsidRPr="00FA751C">
              <w:rPr>
                <w:rFonts w:ascii="Verdana" w:hAnsi="Verdana" w:cs="Calibri"/>
                <w:b/>
                <w:bCs/>
                <w:color w:val="000000"/>
              </w:rPr>
              <w:t>Key Operating Data</w:t>
            </w:r>
          </w:p>
        </w:tc>
      </w:tr>
      <w:tr w:rsidR="00BD1965" w:rsidRPr="00FA751C" w14:paraId="2BCC167A" w14:textId="77777777" w:rsidTr="00DA01C7">
        <w:trPr>
          <w:trHeight w:val="268"/>
        </w:trPr>
        <w:tc>
          <w:tcPr>
            <w:tcW w:w="5000" w:type="pct"/>
            <w:gridSpan w:val="3"/>
            <w:tcBorders>
              <w:top w:val="single" w:sz="4" w:space="0" w:color="auto"/>
              <w:left w:val="single" w:sz="4" w:space="0" w:color="auto"/>
              <w:bottom w:val="single" w:sz="4" w:space="0" w:color="auto"/>
              <w:right w:val="single" w:sz="4" w:space="0" w:color="000000"/>
            </w:tcBorders>
            <w:shd w:val="clear" w:color="auto" w:fill="auto"/>
            <w:noWrap/>
            <w:hideMark/>
          </w:tcPr>
          <w:p w14:paraId="769ACD8A" w14:textId="77777777" w:rsidR="00BD1965" w:rsidRPr="00FA751C" w:rsidRDefault="00BD1965" w:rsidP="00DA01C7">
            <w:pPr>
              <w:jc w:val="right"/>
              <w:rPr>
                <w:rFonts w:ascii="Verdana" w:hAnsi="Verdana" w:cs="Calibri"/>
                <w:i/>
                <w:iCs/>
                <w:color w:val="000000"/>
              </w:rPr>
            </w:pPr>
            <w:r w:rsidRPr="00FA751C">
              <w:rPr>
                <w:rFonts w:ascii="Verdana" w:hAnsi="Verdana" w:cs="Calibri"/>
                <w:i/>
                <w:iCs/>
                <w:color w:val="000000"/>
              </w:rPr>
              <w:t xml:space="preserve">All figures in BDT </w:t>
            </w:r>
          </w:p>
        </w:tc>
      </w:tr>
      <w:tr w:rsidR="00BD1965" w:rsidRPr="00FA751C" w14:paraId="5ECF5C4A" w14:textId="77777777" w:rsidTr="00DA01C7">
        <w:trPr>
          <w:trHeight w:val="277"/>
        </w:trPr>
        <w:tc>
          <w:tcPr>
            <w:tcW w:w="2381" w:type="pct"/>
            <w:tcBorders>
              <w:top w:val="nil"/>
              <w:left w:val="single" w:sz="4" w:space="0" w:color="auto"/>
              <w:bottom w:val="single" w:sz="4" w:space="0" w:color="auto"/>
              <w:right w:val="single" w:sz="4" w:space="0" w:color="auto"/>
            </w:tcBorders>
            <w:shd w:val="clear" w:color="auto" w:fill="auto"/>
            <w:noWrap/>
            <w:vAlign w:val="bottom"/>
            <w:hideMark/>
          </w:tcPr>
          <w:p w14:paraId="4F871D29" w14:textId="77777777" w:rsidR="00BD1965" w:rsidRPr="00FA751C" w:rsidRDefault="00BD1965" w:rsidP="00DA01C7">
            <w:pPr>
              <w:jc w:val="center"/>
              <w:rPr>
                <w:rFonts w:ascii="Verdana" w:hAnsi="Verdana" w:cs="Calibri"/>
                <w:b/>
                <w:bCs/>
                <w:color w:val="000000"/>
              </w:rPr>
            </w:pPr>
            <w:r w:rsidRPr="00FA751C">
              <w:rPr>
                <w:rFonts w:ascii="Verdana" w:hAnsi="Verdana" w:cs="Calibri"/>
                <w:b/>
                <w:bCs/>
                <w:color w:val="000000"/>
              </w:rPr>
              <w:t>Particular’s</w:t>
            </w:r>
          </w:p>
        </w:tc>
        <w:tc>
          <w:tcPr>
            <w:tcW w:w="1329" w:type="pct"/>
            <w:tcBorders>
              <w:top w:val="nil"/>
              <w:left w:val="nil"/>
              <w:bottom w:val="single" w:sz="4" w:space="0" w:color="auto"/>
              <w:right w:val="single" w:sz="4" w:space="0" w:color="auto"/>
            </w:tcBorders>
            <w:shd w:val="clear" w:color="auto" w:fill="auto"/>
            <w:noWrap/>
            <w:vAlign w:val="bottom"/>
          </w:tcPr>
          <w:p w14:paraId="0D769BBE" w14:textId="551F807F" w:rsidR="00BD1965" w:rsidRPr="00FA751C" w:rsidRDefault="00F866AB" w:rsidP="00DA01C7">
            <w:pPr>
              <w:jc w:val="center"/>
              <w:rPr>
                <w:rFonts w:ascii="Verdana" w:hAnsi="Verdana" w:cs="Calibri"/>
                <w:b/>
                <w:bCs/>
                <w:color w:val="000000"/>
              </w:rPr>
            </w:pPr>
            <w:r w:rsidRPr="00FA751C">
              <w:rPr>
                <w:rFonts w:ascii="Verdana" w:hAnsi="Verdana" w:cs="Calibri"/>
                <w:b/>
                <w:bCs/>
                <w:color w:val="000000"/>
              </w:rPr>
              <w:t xml:space="preserve">June, </w:t>
            </w:r>
            <w:r w:rsidR="00BD1965" w:rsidRPr="00FA751C">
              <w:rPr>
                <w:rFonts w:ascii="Verdana" w:hAnsi="Verdana" w:cs="Calibri"/>
                <w:b/>
                <w:bCs/>
                <w:color w:val="000000"/>
              </w:rPr>
              <w:t>202</w:t>
            </w:r>
            <w:r w:rsidRPr="00FA751C">
              <w:rPr>
                <w:rFonts w:ascii="Verdana" w:hAnsi="Verdana" w:cs="Calibri"/>
                <w:b/>
                <w:bCs/>
                <w:color w:val="000000"/>
              </w:rPr>
              <w:t>1</w:t>
            </w:r>
          </w:p>
        </w:tc>
        <w:tc>
          <w:tcPr>
            <w:tcW w:w="1290" w:type="pct"/>
            <w:tcBorders>
              <w:top w:val="nil"/>
              <w:left w:val="nil"/>
              <w:bottom w:val="single" w:sz="4" w:space="0" w:color="auto"/>
              <w:right w:val="single" w:sz="4" w:space="0" w:color="auto"/>
            </w:tcBorders>
            <w:shd w:val="clear" w:color="auto" w:fill="auto"/>
            <w:noWrap/>
            <w:vAlign w:val="bottom"/>
            <w:hideMark/>
          </w:tcPr>
          <w:p w14:paraId="1A418671" w14:textId="5AD2BD8D" w:rsidR="00BD1965" w:rsidRPr="00FA751C" w:rsidRDefault="00F866AB" w:rsidP="00DA01C7">
            <w:pPr>
              <w:jc w:val="center"/>
              <w:rPr>
                <w:rFonts w:ascii="Verdana" w:hAnsi="Verdana" w:cs="Calibri"/>
                <w:b/>
                <w:bCs/>
                <w:color w:val="000000"/>
              </w:rPr>
            </w:pPr>
            <w:r w:rsidRPr="00FA751C">
              <w:rPr>
                <w:rFonts w:ascii="Verdana" w:hAnsi="Verdana" w:cs="Calibri"/>
                <w:b/>
                <w:bCs/>
                <w:color w:val="000000"/>
              </w:rPr>
              <w:t xml:space="preserve">June, </w:t>
            </w:r>
            <w:r w:rsidR="00BD1965" w:rsidRPr="00FA751C">
              <w:rPr>
                <w:rFonts w:ascii="Verdana" w:hAnsi="Verdana" w:cs="Calibri"/>
                <w:b/>
                <w:bCs/>
                <w:color w:val="000000"/>
              </w:rPr>
              <w:t>20</w:t>
            </w:r>
            <w:r w:rsidRPr="00FA751C">
              <w:rPr>
                <w:rFonts w:ascii="Verdana" w:hAnsi="Verdana" w:cs="Calibri"/>
                <w:b/>
                <w:bCs/>
                <w:color w:val="000000"/>
              </w:rPr>
              <w:t>20</w:t>
            </w:r>
          </w:p>
        </w:tc>
      </w:tr>
      <w:tr w:rsidR="00F866AB" w:rsidRPr="00FA751C" w14:paraId="4772E527" w14:textId="77777777" w:rsidTr="00DA01C7">
        <w:trPr>
          <w:trHeight w:val="277"/>
        </w:trPr>
        <w:tc>
          <w:tcPr>
            <w:tcW w:w="2381" w:type="pct"/>
            <w:tcBorders>
              <w:top w:val="nil"/>
              <w:left w:val="single" w:sz="4" w:space="0" w:color="auto"/>
              <w:bottom w:val="single" w:sz="4" w:space="0" w:color="auto"/>
              <w:right w:val="single" w:sz="4" w:space="0" w:color="auto"/>
            </w:tcBorders>
            <w:shd w:val="clear" w:color="auto" w:fill="auto"/>
            <w:noWrap/>
            <w:vAlign w:val="bottom"/>
          </w:tcPr>
          <w:p w14:paraId="4365B9E9" w14:textId="0F022445" w:rsidR="00F866AB" w:rsidRPr="00FA751C" w:rsidRDefault="00F866AB" w:rsidP="00DA01C7">
            <w:pPr>
              <w:rPr>
                <w:rFonts w:ascii="Verdana" w:hAnsi="Verdana" w:cs="Calibri"/>
                <w:color w:val="000000"/>
              </w:rPr>
            </w:pPr>
            <w:r w:rsidRPr="00FA751C">
              <w:rPr>
                <w:rFonts w:ascii="Verdana" w:hAnsi="Verdana" w:cs="Calibri"/>
                <w:color w:val="000000"/>
              </w:rPr>
              <w:t xml:space="preserve">Revenue </w:t>
            </w:r>
          </w:p>
        </w:tc>
        <w:tc>
          <w:tcPr>
            <w:tcW w:w="1329" w:type="pct"/>
            <w:tcBorders>
              <w:top w:val="nil"/>
              <w:left w:val="nil"/>
              <w:bottom w:val="single" w:sz="4" w:space="0" w:color="auto"/>
              <w:right w:val="single" w:sz="4" w:space="0" w:color="auto"/>
            </w:tcBorders>
            <w:shd w:val="clear" w:color="auto" w:fill="auto"/>
            <w:noWrap/>
            <w:vAlign w:val="bottom"/>
          </w:tcPr>
          <w:p w14:paraId="3099F151" w14:textId="52895CE1" w:rsidR="00F866AB" w:rsidRPr="00FA751C" w:rsidRDefault="00F866AB" w:rsidP="00DA01C7">
            <w:pPr>
              <w:jc w:val="right"/>
              <w:rPr>
                <w:rFonts w:ascii="Verdana" w:hAnsi="Verdana" w:cs="Open Sans"/>
                <w:b/>
                <w:bCs/>
              </w:rPr>
            </w:pPr>
            <w:r w:rsidRPr="00F866AB">
              <w:rPr>
                <w:rFonts w:ascii="Verdana" w:hAnsi="Verdana" w:cs="Open Sans"/>
              </w:rPr>
              <w:t>5,315,157,766</w:t>
            </w:r>
          </w:p>
        </w:tc>
        <w:tc>
          <w:tcPr>
            <w:tcW w:w="1290" w:type="pct"/>
            <w:tcBorders>
              <w:top w:val="nil"/>
              <w:left w:val="nil"/>
              <w:bottom w:val="single" w:sz="4" w:space="0" w:color="auto"/>
              <w:right w:val="single" w:sz="4" w:space="0" w:color="auto"/>
            </w:tcBorders>
            <w:shd w:val="clear" w:color="auto" w:fill="auto"/>
            <w:noWrap/>
            <w:vAlign w:val="bottom"/>
          </w:tcPr>
          <w:p w14:paraId="1CCB89D1" w14:textId="3AA20E20" w:rsidR="00F866AB" w:rsidRPr="00FA751C" w:rsidRDefault="00F866AB" w:rsidP="00DA01C7">
            <w:pPr>
              <w:jc w:val="right"/>
              <w:rPr>
                <w:rFonts w:ascii="Verdana" w:hAnsi="Verdana" w:cs="Open Sans"/>
                <w:b/>
                <w:bCs/>
              </w:rPr>
            </w:pPr>
            <w:r w:rsidRPr="00F866AB">
              <w:rPr>
                <w:rFonts w:ascii="Verdana" w:hAnsi="Verdana" w:cs="Open Sans"/>
              </w:rPr>
              <w:t>6,001,464,377</w:t>
            </w:r>
          </w:p>
        </w:tc>
      </w:tr>
      <w:tr w:rsidR="00BD1965" w:rsidRPr="00FA751C" w14:paraId="7DFF72D7" w14:textId="77777777" w:rsidTr="00DA01C7">
        <w:trPr>
          <w:trHeight w:val="277"/>
        </w:trPr>
        <w:tc>
          <w:tcPr>
            <w:tcW w:w="2381" w:type="pct"/>
            <w:tcBorders>
              <w:top w:val="nil"/>
              <w:left w:val="single" w:sz="4" w:space="0" w:color="auto"/>
              <w:bottom w:val="single" w:sz="4" w:space="0" w:color="auto"/>
              <w:right w:val="single" w:sz="4" w:space="0" w:color="auto"/>
            </w:tcBorders>
            <w:shd w:val="clear" w:color="auto" w:fill="auto"/>
            <w:noWrap/>
            <w:vAlign w:val="bottom"/>
            <w:hideMark/>
          </w:tcPr>
          <w:p w14:paraId="54146869" w14:textId="72190666" w:rsidR="00BD1965" w:rsidRPr="00FA751C" w:rsidRDefault="00BD1965" w:rsidP="00DA01C7">
            <w:pPr>
              <w:rPr>
                <w:rFonts w:ascii="Verdana" w:hAnsi="Verdana" w:cs="Calibri"/>
                <w:color w:val="000000"/>
              </w:rPr>
            </w:pPr>
            <w:r w:rsidRPr="00FA751C">
              <w:rPr>
                <w:rFonts w:ascii="Verdana" w:hAnsi="Verdana" w:cs="Calibri"/>
                <w:color w:val="000000"/>
              </w:rPr>
              <w:t>Net operating Income</w:t>
            </w:r>
            <w:r w:rsidR="00F866AB" w:rsidRPr="00FA751C">
              <w:rPr>
                <w:rFonts w:ascii="Verdana" w:hAnsi="Verdana" w:cs="Calibri"/>
                <w:color w:val="000000"/>
              </w:rPr>
              <w:t>/(Loss)</w:t>
            </w:r>
          </w:p>
        </w:tc>
        <w:tc>
          <w:tcPr>
            <w:tcW w:w="1329" w:type="pct"/>
            <w:tcBorders>
              <w:top w:val="nil"/>
              <w:left w:val="nil"/>
              <w:bottom w:val="single" w:sz="4" w:space="0" w:color="auto"/>
              <w:right w:val="single" w:sz="4" w:space="0" w:color="auto"/>
            </w:tcBorders>
            <w:shd w:val="clear" w:color="auto" w:fill="auto"/>
            <w:noWrap/>
            <w:vAlign w:val="bottom"/>
          </w:tcPr>
          <w:p w14:paraId="2DF662B5" w14:textId="5B50160D" w:rsidR="00BD1965" w:rsidRPr="00FA751C" w:rsidRDefault="00F866AB" w:rsidP="00DA01C7">
            <w:pPr>
              <w:jc w:val="right"/>
              <w:rPr>
                <w:rFonts w:ascii="Verdana" w:hAnsi="Verdana" w:cs="Calibri"/>
                <w:color w:val="000000"/>
              </w:rPr>
            </w:pPr>
            <w:r w:rsidRPr="00F866AB">
              <w:rPr>
                <w:rFonts w:ascii="Verdana" w:hAnsi="Verdana" w:cs="Open Sans"/>
              </w:rPr>
              <w:t>(219,768,818)</w:t>
            </w:r>
          </w:p>
        </w:tc>
        <w:tc>
          <w:tcPr>
            <w:tcW w:w="1290" w:type="pct"/>
            <w:tcBorders>
              <w:top w:val="nil"/>
              <w:left w:val="nil"/>
              <w:bottom w:val="single" w:sz="4" w:space="0" w:color="auto"/>
              <w:right w:val="single" w:sz="4" w:space="0" w:color="auto"/>
            </w:tcBorders>
            <w:shd w:val="clear" w:color="auto" w:fill="auto"/>
            <w:noWrap/>
            <w:vAlign w:val="bottom"/>
            <w:hideMark/>
          </w:tcPr>
          <w:p w14:paraId="60357612" w14:textId="670A1963" w:rsidR="00BD1965" w:rsidRPr="00FA751C" w:rsidRDefault="00F866AB" w:rsidP="00DA01C7">
            <w:pPr>
              <w:jc w:val="right"/>
              <w:rPr>
                <w:rFonts w:ascii="Verdana" w:hAnsi="Verdana" w:cs="Calibri"/>
                <w:color w:val="000000"/>
              </w:rPr>
            </w:pPr>
            <w:r w:rsidRPr="00F866AB">
              <w:rPr>
                <w:rFonts w:ascii="Verdana" w:hAnsi="Verdana" w:cs="Open Sans"/>
              </w:rPr>
              <w:t>(46,012,874)</w:t>
            </w:r>
          </w:p>
        </w:tc>
      </w:tr>
      <w:tr w:rsidR="00BD1965" w:rsidRPr="00FA751C" w14:paraId="7E357BCF" w14:textId="77777777" w:rsidTr="00DA01C7">
        <w:trPr>
          <w:trHeight w:val="277"/>
        </w:trPr>
        <w:tc>
          <w:tcPr>
            <w:tcW w:w="2381" w:type="pct"/>
            <w:tcBorders>
              <w:top w:val="nil"/>
              <w:left w:val="single" w:sz="4" w:space="0" w:color="auto"/>
              <w:bottom w:val="single" w:sz="4" w:space="0" w:color="auto"/>
              <w:right w:val="single" w:sz="4" w:space="0" w:color="auto"/>
            </w:tcBorders>
            <w:shd w:val="clear" w:color="auto" w:fill="auto"/>
            <w:noWrap/>
            <w:vAlign w:val="bottom"/>
            <w:hideMark/>
          </w:tcPr>
          <w:p w14:paraId="5C481672" w14:textId="445EF701" w:rsidR="00BD1965" w:rsidRPr="00FA751C" w:rsidRDefault="00F866AB" w:rsidP="00DA01C7">
            <w:pPr>
              <w:rPr>
                <w:rFonts w:ascii="Verdana" w:hAnsi="Verdana" w:cs="Calibri"/>
                <w:color w:val="000000"/>
              </w:rPr>
            </w:pPr>
            <w:r w:rsidRPr="00FA751C">
              <w:rPr>
                <w:rFonts w:ascii="Verdana" w:hAnsi="Verdana" w:cs="Calibri"/>
                <w:color w:val="000000"/>
              </w:rPr>
              <w:t>Profit/(</w:t>
            </w:r>
            <w:r w:rsidR="00BD1965" w:rsidRPr="00FA751C">
              <w:rPr>
                <w:rFonts w:ascii="Verdana" w:hAnsi="Verdana" w:cs="Calibri"/>
                <w:color w:val="000000"/>
              </w:rPr>
              <w:t>Loss</w:t>
            </w:r>
            <w:r w:rsidRPr="00FA751C">
              <w:rPr>
                <w:rFonts w:ascii="Verdana" w:hAnsi="Verdana" w:cs="Calibri"/>
                <w:color w:val="000000"/>
              </w:rPr>
              <w:t>)</w:t>
            </w:r>
            <w:r w:rsidR="00BD1965" w:rsidRPr="00FA751C">
              <w:rPr>
                <w:rFonts w:ascii="Verdana" w:hAnsi="Verdana" w:cs="Calibri"/>
                <w:color w:val="000000"/>
              </w:rPr>
              <w:t xml:space="preserve"> after tax</w:t>
            </w:r>
          </w:p>
        </w:tc>
        <w:tc>
          <w:tcPr>
            <w:tcW w:w="1329" w:type="pct"/>
            <w:tcBorders>
              <w:top w:val="nil"/>
              <w:left w:val="nil"/>
              <w:bottom w:val="single" w:sz="4" w:space="0" w:color="auto"/>
              <w:right w:val="single" w:sz="4" w:space="0" w:color="auto"/>
            </w:tcBorders>
            <w:shd w:val="clear" w:color="auto" w:fill="auto"/>
            <w:noWrap/>
            <w:vAlign w:val="bottom"/>
          </w:tcPr>
          <w:p w14:paraId="5491E935" w14:textId="4C2504A6" w:rsidR="00BD1965" w:rsidRPr="00FA751C" w:rsidRDefault="00F866AB" w:rsidP="00DA01C7">
            <w:pPr>
              <w:jc w:val="right"/>
              <w:rPr>
                <w:rFonts w:ascii="Verdana" w:hAnsi="Verdana" w:cs="Calibri"/>
                <w:color w:val="000000"/>
              </w:rPr>
            </w:pPr>
            <w:r w:rsidRPr="00F866AB">
              <w:rPr>
                <w:rFonts w:ascii="Verdana" w:hAnsi="Verdana" w:cs="Open Sans"/>
              </w:rPr>
              <w:t>(269,980,515)</w:t>
            </w:r>
          </w:p>
        </w:tc>
        <w:tc>
          <w:tcPr>
            <w:tcW w:w="1290" w:type="pct"/>
            <w:tcBorders>
              <w:top w:val="nil"/>
              <w:left w:val="nil"/>
              <w:bottom w:val="single" w:sz="4" w:space="0" w:color="auto"/>
              <w:right w:val="single" w:sz="4" w:space="0" w:color="auto"/>
            </w:tcBorders>
            <w:shd w:val="clear" w:color="auto" w:fill="auto"/>
            <w:noWrap/>
            <w:vAlign w:val="bottom"/>
            <w:hideMark/>
          </w:tcPr>
          <w:p w14:paraId="7CAC6F44" w14:textId="28F877B6" w:rsidR="00BD1965" w:rsidRPr="00FA751C" w:rsidRDefault="00F866AB" w:rsidP="00DA01C7">
            <w:pPr>
              <w:jc w:val="right"/>
              <w:rPr>
                <w:rFonts w:ascii="Verdana" w:hAnsi="Verdana" w:cs="Calibri"/>
                <w:color w:val="000000"/>
              </w:rPr>
            </w:pPr>
            <w:r w:rsidRPr="00F866AB">
              <w:rPr>
                <w:rFonts w:ascii="Verdana" w:hAnsi="Verdana" w:cs="Open Sans"/>
              </w:rPr>
              <w:t>(83,418,580)</w:t>
            </w:r>
          </w:p>
        </w:tc>
      </w:tr>
    </w:tbl>
    <w:p w14:paraId="64DBBAFE" w14:textId="77777777" w:rsidR="00BD1965" w:rsidRPr="00FA751C" w:rsidRDefault="00BD1965" w:rsidP="00BD1965">
      <w:pPr>
        <w:pStyle w:val="Default"/>
        <w:jc w:val="both"/>
        <w:rPr>
          <w:rFonts w:ascii="Verdana" w:hAnsi="Verdana" w:cs="Times New Roman"/>
          <w:highlight w:val="green"/>
        </w:rPr>
      </w:pPr>
    </w:p>
    <w:p w14:paraId="6CE6A6CD" w14:textId="0281AB6E" w:rsidR="00BD1965" w:rsidRDefault="00F866AB" w:rsidP="00F866AB">
      <w:pPr>
        <w:ind w:left="720"/>
        <w:jc w:val="both"/>
        <w:rPr>
          <w:rFonts w:ascii="Verdana" w:hAnsi="Verdana"/>
        </w:rPr>
      </w:pPr>
      <w:r w:rsidRPr="00FA751C">
        <w:rPr>
          <w:rFonts w:ascii="Verdana" w:hAnsi="Verdana"/>
        </w:rPr>
        <w:t xml:space="preserve">The entity earned BDT </w:t>
      </w:r>
      <w:r w:rsidRPr="00F866AB">
        <w:rPr>
          <w:rFonts w:ascii="Verdana" w:hAnsi="Verdana" w:cs="Open Sans"/>
        </w:rPr>
        <w:t>5,315,157,766</w:t>
      </w:r>
      <w:r w:rsidRPr="00FA751C">
        <w:rPr>
          <w:rFonts w:ascii="Verdana" w:hAnsi="Verdana" w:cs="Open Sans"/>
        </w:rPr>
        <w:t xml:space="preserve"> </w:t>
      </w:r>
      <w:r w:rsidRPr="00FA751C">
        <w:rPr>
          <w:rFonts w:ascii="Verdana" w:hAnsi="Verdana"/>
        </w:rPr>
        <w:t xml:space="preserve">revenue the last year, </w:t>
      </w:r>
      <w:proofErr w:type="gramStart"/>
      <w:r w:rsidRPr="00FA751C">
        <w:rPr>
          <w:rFonts w:ascii="Verdana" w:hAnsi="Verdana"/>
        </w:rPr>
        <w:t>i.e.</w:t>
      </w:r>
      <w:proofErr w:type="gramEnd"/>
      <w:r w:rsidRPr="00FA751C">
        <w:rPr>
          <w:rFonts w:ascii="Verdana" w:hAnsi="Verdana"/>
        </w:rPr>
        <w:t xml:space="preserve"> for the year 2021. As compared to earlier year, revenue of the company declined </w:t>
      </w:r>
      <w:r w:rsidR="004B1A91">
        <w:rPr>
          <w:rFonts w:ascii="Verdana" w:hAnsi="Verdana"/>
        </w:rPr>
        <w:t xml:space="preserve">in 2021 </w:t>
      </w:r>
      <w:r w:rsidRPr="00FA751C">
        <w:rPr>
          <w:rFonts w:ascii="Verdana" w:hAnsi="Verdana"/>
        </w:rPr>
        <w:t xml:space="preserve">due to COVID-19. Operating income and net income of the company as well adversely affected by COVID-19 impact. </w:t>
      </w:r>
      <w:proofErr w:type="gramStart"/>
      <w:r w:rsidRPr="00FA751C">
        <w:rPr>
          <w:rFonts w:ascii="Verdana" w:hAnsi="Verdana"/>
        </w:rPr>
        <w:t>But,</w:t>
      </w:r>
      <w:proofErr w:type="gramEnd"/>
      <w:r w:rsidRPr="00FA751C">
        <w:rPr>
          <w:rFonts w:ascii="Verdana" w:hAnsi="Verdana"/>
        </w:rPr>
        <w:t xml:space="preserve"> overall financial performance of the Company was good and </w:t>
      </w:r>
      <w:r w:rsidR="00BD64F5">
        <w:rPr>
          <w:rFonts w:ascii="Verdana" w:hAnsi="Verdana"/>
        </w:rPr>
        <w:t xml:space="preserve">its </w:t>
      </w:r>
      <w:r w:rsidRPr="00FA751C">
        <w:rPr>
          <w:rFonts w:ascii="Verdana" w:hAnsi="Verdana"/>
        </w:rPr>
        <w:t xml:space="preserve">prospect is good considering current condition of ready-made garments industry of Bangladesh. </w:t>
      </w:r>
    </w:p>
    <w:p w14:paraId="0DE70ABF" w14:textId="77777777" w:rsidR="00FA751C" w:rsidRPr="00FA751C" w:rsidRDefault="00FA751C" w:rsidP="00F866AB">
      <w:pPr>
        <w:ind w:left="720"/>
        <w:jc w:val="both"/>
        <w:rPr>
          <w:rFonts w:ascii="Verdana" w:hAnsi="Verdana"/>
        </w:rPr>
      </w:pPr>
    </w:p>
    <w:p w14:paraId="6799F43E" w14:textId="3E68257D" w:rsidR="00BD1965" w:rsidRPr="00EE74CE" w:rsidRDefault="00BD1965" w:rsidP="00BD1965">
      <w:pPr>
        <w:pStyle w:val="Default"/>
        <w:ind w:left="720"/>
        <w:jc w:val="both"/>
        <w:rPr>
          <w:rFonts w:ascii="Verdana" w:hAnsi="Verdana" w:cs="Times New Roman"/>
          <w:b/>
          <w:bCs/>
        </w:rPr>
      </w:pPr>
      <w:r w:rsidRPr="00EE74CE">
        <w:rPr>
          <w:rFonts w:ascii="Verdana" w:hAnsi="Verdana" w:cs="Times New Roman"/>
          <w:b/>
          <w:bCs/>
        </w:rPr>
        <w:t xml:space="preserve">Financial </w:t>
      </w:r>
      <w:r w:rsidR="00F866AB" w:rsidRPr="00EE74CE">
        <w:rPr>
          <w:rFonts w:ascii="Verdana" w:hAnsi="Verdana" w:cs="Times New Roman"/>
          <w:b/>
          <w:bCs/>
        </w:rPr>
        <w:t>position</w:t>
      </w:r>
      <w:r w:rsidRPr="00EE74CE">
        <w:rPr>
          <w:rFonts w:ascii="Verdana" w:hAnsi="Verdana" w:cs="Times New Roman"/>
          <w:b/>
          <w:bCs/>
        </w:rPr>
        <w:t xml:space="preserve"> for the years 20</w:t>
      </w:r>
      <w:r w:rsidR="00F866AB" w:rsidRPr="00EE74CE">
        <w:rPr>
          <w:rFonts w:ascii="Verdana" w:hAnsi="Verdana" w:cs="Times New Roman"/>
          <w:b/>
          <w:bCs/>
        </w:rPr>
        <w:t>21</w:t>
      </w:r>
      <w:r w:rsidRPr="00EE74CE">
        <w:rPr>
          <w:rFonts w:ascii="Verdana" w:hAnsi="Verdana" w:cs="Times New Roman"/>
          <w:b/>
          <w:bCs/>
        </w:rPr>
        <w:t xml:space="preserve"> and 2020: </w:t>
      </w:r>
    </w:p>
    <w:p w14:paraId="183BCC69" w14:textId="77777777" w:rsidR="00BD1965" w:rsidRPr="00FA751C" w:rsidRDefault="00BD1965" w:rsidP="00BD1965">
      <w:pPr>
        <w:pStyle w:val="Default"/>
        <w:ind w:left="720"/>
        <w:jc w:val="both"/>
        <w:rPr>
          <w:rFonts w:ascii="Verdana" w:hAnsi="Verdana" w:cs="Times New Roman"/>
          <w:noProof/>
        </w:rPr>
      </w:pPr>
    </w:p>
    <w:tbl>
      <w:tblPr>
        <w:tblW w:w="8808" w:type="dxa"/>
        <w:tblInd w:w="715" w:type="dxa"/>
        <w:tblLook w:val="04A0" w:firstRow="1" w:lastRow="0" w:firstColumn="1" w:lastColumn="0" w:noHBand="0" w:noVBand="1"/>
      </w:tblPr>
      <w:tblGrid>
        <w:gridCol w:w="4309"/>
        <w:gridCol w:w="2261"/>
        <w:gridCol w:w="2238"/>
      </w:tblGrid>
      <w:tr w:rsidR="00BD1965" w:rsidRPr="00FA751C" w14:paraId="10EEDCFE" w14:textId="77777777" w:rsidTr="00DA01C7">
        <w:trPr>
          <w:trHeight w:val="162"/>
        </w:trPr>
        <w:tc>
          <w:tcPr>
            <w:tcW w:w="8808" w:type="dxa"/>
            <w:gridSpan w:val="3"/>
            <w:tcBorders>
              <w:top w:val="single" w:sz="4" w:space="0" w:color="auto"/>
              <w:left w:val="single" w:sz="4" w:space="0" w:color="auto"/>
              <w:bottom w:val="single" w:sz="4" w:space="0" w:color="auto"/>
              <w:right w:val="single" w:sz="4" w:space="0" w:color="auto"/>
            </w:tcBorders>
            <w:shd w:val="clear" w:color="auto" w:fill="auto"/>
            <w:noWrap/>
            <w:vAlign w:val="bottom"/>
          </w:tcPr>
          <w:p w14:paraId="491DA279" w14:textId="7977CD99" w:rsidR="00BD1965" w:rsidRPr="00747C0B" w:rsidRDefault="00BD1965" w:rsidP="00DA01C7">
            <w:pPr>
              <w:jc w:val="center"/>
              <w:rPr>
                <w:rFonts w:ascii="Verdana" w:hAnsi="Verdana" w:cs="Calibri"/>
                <w:b/>
                <w:bCs/>
                <w:color w:val="000000"/>
              </w:rPr>
            </w:pPr>
            <w:r w:rsidRPr="00747C0B">
              <w:rPr>
                <w:rFonts w:ascii="Verdana" w:hAnsi="Verdana" w:cs="Calibri"/>
                <w:b/>
                <w:bCs/>
                <w:color w:val="000000"/>
              </w:rPr>
              <w:t xml:space="preserve">Key </w:t>
            </w:r>
            <w:r w:rsidR="00F866AB" w:rsidRPr="00747C0B">
              <w:rPr>
                <w:rFonts w:ascii="Verdana" w:hAnsi="Verdana" w:cs="Calibri"/>
                <w:b/>
                <w:bCs/>
                <w:color w:val="000000"/>
              </w:rPr>
              <w:t>Financial Position</w:t>
            </w:r>
            <w:r w:rsidRPr="00747C0B">
              <w:rPr>
                <w:rFonts w:ascii="Verdana" w:hAnsi="Verdana" w:cs="Calibri"/>
                <w:b/>
                <w:bCs/>
                <w:color w:val="000000"/>
              </w:rPr>
              <w:t xml:space="preserve"> Data</w:t>
            </w:r>
          </w:p>
        </w:tc>
      </w:tr>
      <w:tr w:rsidR="00BD1965" w:rsidRPr="00FA751C" w14:paraId="4ECDBB8C" w14:textId="77777777" w:rsidTr="00DA01C7">
        <w:trPr>
          <w:trHeight w:val="305"/>
        </w:trPr>
        <w:tc>
          <w:tcPr>
            <w:tcW w:w="8808" w:type="dxa"/>
            <w:gridSpan w:val="3"/>
            <w:tcBorders>
              <w:top w:val="single" w:sz="4" w:space="0" w:color="auto"/>
              <w:left w:val="single" w:sz="4" w:space="0" w:color="auto"/>
              <w:bottom w:val="single" w:sz="4" w:space="0" w:color="auto"/>
              <w:right w:val="single" w:sz="4" w:space="0" w:color="auto"/>
            </w:tcBorders>
            <w:shd w:val="clear" w:color="auto" w:fill="auto"/>
            <w:noWrap/>
          </w:tcPr>
          <w:p w14:paraId="36A0B85E" w14:textId="77777777" w:rsidR="00BD1965" w:rsidRPr="00FA751C" w:rsidRDefault="00BD1965" w:rsidP="00DA01C7">
            <w:pPr>
              <w:tabs>
                <w:tab w:val="left" w:pos="491"/>
                <w:tab w:val="right" w:pos="8592"/>
              </w:tabs>
              <w:rPr>
                <w:rFonts w:ascii="Verdana" w:hAnsi="Verdana" w:cs="Calibri"/>
                <w:color w:val="000000"/>
              </w:rPr>
            </w:pPr>
            <w:r w:rsidRPr="00FA751C">
              <w:rPr>
                <w:rFonts w:ascii="Verdana" w:hAnsi="Verdana" w:cs="Calibri"/>
                <w:i/>
                <w:iCs/>
                <w:color w:val="000000"/>
              </w:rPr>
              <w:lastRenderedPageBreak/>
              <w:tab/>
            </w:r>
            <w:r w:rsidRPr="00FA751C">
              <w:rPr>
                <w:rFonts w:ascii="Verdana" w:hAnsi="Verdana" w:cs="Calibri"/>
                <w:i/>
                <w:iCs/>
                <w:color w:val="000000"/>
              </w:rPr>
              <w:tab/>
              <w:t xml:space="preserve">All figures in BDT </w:t>
            </w:r>
          </w:p>
        </w:tc>
      </w:tr>
      <w:tr w:rsidR="00BD1965" w:rsidRPr="00FA751C" w14:paraId="2B9FB7FF" w14:textId="77777777" w:rsidTr="00DA01C7">
        <w:trPr>
          <w:trHeight w:val="162"/>
        </w:trPr>
        <w:tc>
          <w:tcPr>
            <w:tcW w:w="4309" w:type="dxa"/>
            <w:tcBorders>
              <w:top w:val="single" w:sz="4" w:space="0" w:color="auto"/>
              <w:left w:val="single" w:sz="4" w:space="0" w:color="auto"/>
              <w:bottom w:val="single" w:sz="4" w:space="0" w:color="auto"/>
              <w:right w:val="single" w:sz="4" w:space="0" w:color="auto"/>
            </w:tcBorders>
            <w:shd w:val="clear" w:color="auto" w:fill="auto"/>
            <w:noWrap/>
            <w:hideMark/>
          </w:tcPr>
          <w:p w14:paraId="45A0DC0D" w14:textId="77777777" w:rsidR="00BD1965" w:rsidRPr="00FA751C" w:rsidRDefault="00BD1965" w:rsidP="00DA01C7">
            <w:pPr>
              <w:rPr>
                <w:rFonts w:ascii="Verdana" w:hAnsi="Verdana" w:cs="Calibri"/>
                <w:b/>
                <w:bCs/>
                <w:color w:val="000000"/>
                <w:u w:val="single"/>
              </w:rPr>
            </w:pPr>
            <w:r w:rsidRPr="00FA751C">
              <w:rPr>
                <w:rFonts w:ascii="Verdana" w:hAnsi="Verdana" w:cs="Calibri"/>
                <w:b/>
                <w:bCs/>
                <w:color w:val="000000"/>
                <w:u w:val="single"/>
              </w:rPr>
              <w:t>Assets:</w:t>
            </w:r>
          </w:p>
        </w:tc>
        <w:tc>
          <w:tcPr>
            <w:tcW w:w="2261" w:type="dxa"/>
            <w:tcBorders>
              <w:top w:val="single" w:sz="4" w:space="0" w:color="auto"/>
              <w:left w:val="nil"/>
              <w:bottom w:val="nil"/>
              <w:right w:val="single" w:sz="4" w:space="0" w:color="auto"/>
            </w:tcBorders>
            <w:shd w:val="clear" w:color="auto" w:fill="auto"/>
            <w:noWrap/>
            <w:hideMark/>
          </w:tcPr>
          <w:p w14:paraId="4726B1AB" w14:textId="09AAAC33" w:rsidR="00BD1965" w:rsidRPr="00FA751C" w:rsidRDefault="00F866AB" w:rsidP="00DA01C7">
            <w:pPr>
              <w:jc w:val="center"/>
              <w:rPr>
                <w:rFonts w:ascii="Verdana" w:hAnsi="Verdana" w:cs="Calibri"/>
                <w:b/>
                <w:bCs/>
                <w:color w:val="000000"/>
              </w:rPr>
            </w:pPr>
            <w:r w:rsidRPr="00FA751C">
              <w:rPr>
                <w:rFonts w:ascii="Verdana" w:hAnsi="Verdana" w:cs="Calibri"/>
                <w:b/>
                <w:bCs/>
                <w:color w:val="000000"/>
              </w:rPr>
              <w:t xml:space="preserve">30 June, </w:t>
            </w:r>
            <w:r w:rsidR="00BD1965" w:rsidRPr="00FA751C">
              <w:rPr>
                <w:rFonts w:ascii="Verdana" w:hAnsi="Verdana" w:cs="Calibri"/>
                <w:b/>
                <w:bCs/>
                <w:color w:val="000000"/>
              </w:rPr>
              <w:t>202</w:t>
            </w:r>
            <w:r w:rsidRPr="00FA751C">
              <w:rPr>
                <w:rFonts w:ascii="Verdana" w:hAnsi="Verdana" w:cs="Calibri"/>
                <w:b/>
                <w:bCs/>
                <w:color w:val="000000"/>
              </w:rPr>
              <w:t>1</w:t>
            </w:r>
          </w:p>
        </w:tc>
        <w:tc>
          <w:tcPr>
            <w:tcW w:w="2238" w:type="dxa"/>
            <w:tcBorders>
              <w:top w:val="single" w:sz="4" w:space="0" w:color="auto"/>
              <w:left w:val="nil"/>
              <w:bottom w:val="nil"/>
              <w:right w:val="single" w:sz="4" w:space="0" w:color="auto"/>
            </w:tcBorders>
            <w:shd w:val="clear" w:color="auto" w:fill="auto"/>
            <w:noWrap/>
            <w:hideMark/>
          </w:tcPr>
          <w:p w14:paraId="327AC9E2" w14:textId="46B49F17" w:rsidR="00BD1965" w:rsidRPr="00FA751C" w:rsidRDefault="00F866AB" w:rsidP="00DA01C7">
            <w:pPr>
              <w:jc w:val="center"/>
              <w:rPr>
                <w:rFonts w:ascii="Verdana" w:hAnsi="Verdana" w:cs="Calibri"/>
                <w:b/>
                <w:bCs/>
                <w:color w:val="000000"/>
              </w:rPr>
            </w:pPr>
            <w:r w:rsidRPr="00FA751C">
              <w:rPr>
                <w:rFonts w:ascii="Verdana" w:hAnsi="Verdana" w:cs="Calibri"/>
                <w:b/>
                <w:bCs/>
                <w:color w:val="000000"/>
              </w:rPr>
              <w:t xml:space="preserve">30 June, </w:t>
            </w:r>
            <w:r w:rsidR="00BD1965" w:rsidRPr="00FA751C">
              <w:rPr>
                <w:rFonts w:ascii="Verdana" w:hAnsi="Verdana" w:cs="Calibri"/>
                <w:b/>
                <w:bCs/>
                <w:color w:val="000000"/>
              </w:rPr>
              <w:t>20</w:t>
            </w:r>
            <w:r w:rsidRPr="00FA751C">
              <w:rPr>
                <w:rFonts w:ascii="Verdana" w:hAnsi="Verdana" w:cs="Calibri"/>
                <w:b/>
                <w:bCs/>
                <w:color w:val="000000"/>
              </w:rPr>
              <w:t>20</w:t>
            </w:r>
          </w:p>
        </w:tc>
      </w:tr>
      <w:tr w:rsidR="00BD1965" w:rsidRPr="00FA751C" w14:paraId="7BEB0018" w14:textId="77777777" w:rsidTr="00DA01C7">
        <w:trPr>
          <w:trHeight w:val="50"/>
        </w:trPr>
        <w:tc>
          <w:tcPr>
            <w:tcW w:w="4309" w:type="dxa"/>
            <w:tcBorders>
              <w:top w:val="nil"/>
              <w:left w:val="single" w:sz="4" w:space="0" w:color="auto"/>
              <w:bottom w:val="single" w:sz="4" w:space="0" w:color="auto"/>
              <w:right w:val="single" w:sz="4" w:space="0" w:color="auto"/>
            </w:tcBorders>
            <w:shd w:val="clear" w:color="auto" w:fill="auto"/>
            <w:noWrap/>
            <w:hideMark/>
          </w:tcPr>
          <w:p w14:paraId="296283C3" w14:textId="77777777" w:rsidR="00BD1965" w:rsidRPr="00FA751C" w:rsidRDefault="00BD1965" w:rsidP="00DA01C7">
            <w:pPr>
              <w:rPr>
                <w:rFonts w:ascii="Verdana" w:hAnsi="Verdana" w:cs="Calibri"/>
                <w:color w:val="000000"/>
              </w:rPr>
            </w:pPr>
            <w:r w:rsidRPr="00FA751C">
              <w:rPr>
                <w:rFonts w:ascii="Verdana" w:hAnsi="Verdana" w:cs="Calibri"/>
                <w:color w:val="000000"/>
              </w:rPr>
              <w:t>Non-Current Assets</w:t>
            </w:r>
          </w:p>
        </w:tc>
        <w:tc>
          <w:tcPr>
            <w:tcW w:w="2261" w:type="dxa"/>
            <w:tcBorders>
              <w:top w:val="single" w:sz="4" w:space="0" w:color="auto"/>
              <w:left w:val="nil"/>
              <w:bottom w:val="single" w:sz="4" w:space="0" w:color="auto"/>
              <w:right w:val="single" w:sz="4" w:space="0" w:color="auto"/>
            </w:tcBorders>
            <w:shd w:val="clear" w:color="auto" w:fill="auto"/>
            <w:noWrap/>
            <w:hideMark/>
          </w:tcPr>
          <w:p w14:paraId="43658650" w14:textId="73CBC432" w:rsidR="00BD1965" w:rsidRPr="00FA751C" w:rsidRDefault="005F362C" w:rsidP="00DA01C7">
            <w:pPr>
              <w:jc w:val="right"/>
              <w:rPr>
                <w:rFonts w:ascii="Verdana" w:hAnsi="Verdana" w:cs="Calibri"/>
                <w:color w:val="000000"/>
              </w:rPr>
            </w:pPr>
            <w:r w:rsidRPr="005F362C">
              <w:rPr>
                <w:rFonts w:ascii="Verdana" w:hAnsi="Verdana" w:cs="Open Sans"/>
              </w:rPr>
              <w:t>1,900,042,478</w:t>
            </w:r>
          </w:p>
        </w:tc>
        <w:tc>
          <w:tcPr>
            <w:tcW w:w="2238" w:type="dxa"/>
            <w:tcBorders>
              <w:top w:val="single" w:sz="4" w:space="0" w:color="auto"/>
              <w:left w:val="nil"/>
              <w:bottom w:val="single" w:sz="4" w:space="0" w:color="auto"/>
              <w:right w:val="single" w:sz="4" w:space="0" w:color="auto"/>
            </w:tcBorders>
            <w:shd w:val="clear" w:color="auto" w:fill="auto"/>
            <w:noWrap/>
            <w:hideMark/>
          </w:tcPr>
          <w:p w14:paraId="28DE86ED" w14:textId="2AF8B9DB" w:rsidR="00BD1965" w:rsidRPr="00FA751C" w:rsidRDefault="005F362C" w:rsidP="00DA01C7">
            <w:pPr>
              <w:jc w:val="right"/>
              <w:rPr>
                <w:rFonts w:ascii="Verdana" w:hAnsi="Verdana" w:cs="Calibri"/>
                <w:color w:val="000000"/>
              </w:rPr>
            </w:pPr>
            <w:r w:rsidRPr="005F362C">
              <w:rPr>
                <w:rFonts w:ascii="Verdana" w:hAnsi="Verdana" w:cs="Open Sans"/>
              </w:rPr>
              <w:t>1,923,558,329</w:t>
            </w:r>
          </w:p>
        </w:tc>
      </w:tr>
      <w:tr w:rsidR="00BD1965" w:rsidRPr="00FA751C" w14:paraId="3BC1BCD6" w14:textId="77777777" w:rsidTr="00DA01C7">
        <w:trPr>
          <w:trHeight w:val="162"/>
        </w:trPr>
        <w:tc>
          <w:tcPr>
            <w:tcW w:w="4309" w:type="dxa"/>
            <w:tcBorders>
              <w:top w:val="nil"/>
              <w:left w:val="single" w:sz="4" w:space="0" w:color="auto"/>
              <w:bottom w:val="single" w:sz="4" w:space="0" w:color="auto"/>
              <w:right w:val="single" w:sz="4" w:space="0" w:color="auto"/>
            </w:tcBorders>
            <w:shd w:val="clear" w:color="auto" w:fill="auto"/>
            <w:noWrap/>
            <w:hideMark/>
          </w:tcPr>
          <w:p w14:paraId="016F9C4C" w14:textId="77777777" w:rsidR="00BD1965" w:rsidRPr="00FA751C" w:rsidRDefault="00BD1965" w:rsidP="00DA01C7">
            <w:pPr>
              <w:rPr>
                <w:rFonts w:ascii="Verdana" w:hAnsi="Verdana" w:cs="Calibri"/>
                <w:color w:val="000000"/>
              </w:rPr>
            </w:pPr>
            <w:r w:rsidRPr="00FA751C">
              <w:rPr>
                <w:rFonts w:ascii="Verdana" w:hAnsi="Verdana" w:cs="Calibri"/>
                <w:color w:val="000000"/>
              </w:rPr>
              <w:t>Current Assets</w:t>
            </w:r>
          </w:p>
        </w:tc>
        <w:tc>
          <w:tcPr>
            <w:tcW w:w="2261" w:type="dxa"/>
            <w:tcBorders>
              <w:top w:val="nil"/>
              <w:left w:val="nil"/>
              <w:bottom w:val="single" w:sz="4" w:space="0" w:color="auto"/>
              <w:right w:val="single" w:sz="4" w:space="0" w:color="auto"/>
            </w:tcBorders>
            <w:shd w:val="clear" w:color="auto" w:fill="auto"/>
            <w:noWrap/>
            <w:hideMark/>
          </w:tcPr>
          <w:p w14:paraId="31CBC196" w14:textId="36AF9303" w:rsidR="00BD1965" w:rsidRPr="00FA751C" w:rsidRDefault="005F362C" w:rsidP="00DA01C7">
            <w:pPr>
              <w:jc w:val="right"/>
              <w:rPr>
                <w:rFonts w:ascii="Verdana" w:hAnsi="Verdana" w:cs="Calibri"/>
                <w:color w:val="000000"/>
              </w:rPr>
            </w:pPr>
            <w:r w:rsidRPr="005F362C">
              <w:rPr>
                <w:rFonts w:ascii="Verdana" w:hAnsi="Verdana" w:cs="Open Sans"/>
              </w:rPr>
              <w:t>1,763,422,626</w:t>
            </w:r>
          </w:p>
        </w:tc>
        <w:tc>
          <w:tcPr>
            <w:tcW w:w="2238" w:type="dxa"/>
            <w:tcBorders>
              <w:top w:val="nil"/>
              <w:left w:val="nil"/>
              <w:bottom w:val="single" w:sz="4" w:space="0" w:color="auto"/>
              <w:right w:val="single" w:sz="4" w:space="0" w:color="auto"/>
            </w:tcBorders>
            <w:shd w:val="clear" w:color="auto" w:fill="auto"/>
            <w:noWrap/>
            <w:hideMark/>
          </w:tcPr>
          <w:p w14:paraId="70CE7740" w14:textId="487F8098" w:rsidR="00BD1965" w:rsidRPr="00FA751C" w:rsidRDefault="005F362C" w:rsidP="00DA01C7">
            <w:pPr>
              <w:jc w:val="right"/>
              <w:rPr>
                <w:rFonts w:ascii="Verdana" w:hAnsi="Verdana" w:cs="Calibri"/>
                <w:color w:val="000000"/>
              </w:rPr>
            </w:pPr>
            <w:r w:rsidRPr="005F362C">
              <w:rPr>
                <w:rFonts w:ascii="Verdana" w:hAnsi="Verdana" w:cs="Open Sans"/>
              </w:rPr>
              <w:t>1,433,712,215</w:t>
            </w:r>
          </w:p>
        </w:tc>
      </w:tr>
      <w:tr w:rsidR="00BD1965" w:rsidRPr="00FA751C" w14:paraId="1A6D8DC1" w14:textId="77777777" w:rsidTr="00DA01C7">
        <w:trPr>
          <w:trHeight w:val="162"/>
        </w:trPr>
        <w:tc>
          <w:tcPr>
            <w:tcW w:w="4309" w:type="dxa"/>
            <w:tcBorders>
              <w:top w:val="nil"/>
              <w:left w:val="single" w:sz="4" w:space="0" w:color="auto"/>
              <w:bottom w:val="single" w:sz="4" w:space="0" w:color="auto"/>
              <w:right w:val="single" w:sz="4" w:space="0" w:color="auto"/>
            </w:tcBorders>
            <w:shd w:val="clear" w:color="auto" w:fill="auto"/>
            <w:hideMark/>
          </w:tcPr>
          <w:p w14:paraId="1276333D" w14:textId="77777777" w:rsidR="00BD1965" w:rsidRPr="00FA751C" w:rsidRDefault="00BD1965" w:rsidP="00DA01C7">
            <w:pPr>
              <w:rPr>
                <w:rFonts w:ascii="Verdana" w:hAnsi="Verdana" w:cs="Calibri"/>
                <w:b/>
                <w:bCs/>
              </w:rPr>
            </w:pPr>
            <w:r w:rsidRPr="00FA751C">
              <w:rPr>
                <w:rFonts w:ascii="Verdana" w:hAnsi="Verdana" w:cs="Arial"/>
                <w:b/>
                <w:bCs/>
              </w:rPr>
              <w:t xml:space="preserve">Total Assets </w:t>
            </w:r>
          </w:p>
        </w:tc>
        <w:tc>
          <w:tcPr>
            <w:tcW w:w="2261" w:type="dxa"/>
            <w:tcBorders>
              <w:top w:val="nil"/>
              <w:left w:val="nil"/>
              <w:bottom w:val="single" w:sz="4" w:space="0" w:color="auto"/>
              <w:right w:val="single" w:sz="4" w:space="0" w:color="auto"/>
            </w:tcBorders>
            <w:shd w:val="clear" w:color="auto" w:fill="auto"/>
            <w:noWrap/>
          </w:tcPr>
          <w:p w14:paraId="5B98684D" w14:textId="1AEF1116" w:rsidR="00BD1965" w:rsidRPr="00FA751C" w:rsidRDefault="005F362C" w:rsidP="00DA01C7">
            <w:pPr>
              <w:jc w:val="right"/>
              <w:rPr>
                <w:rFonts w:ascii="Verdana" w:hAnsi="Verdana" w:cs="Calibri"/>
                <w:b/>
                <w:bCs/>
                <w:color w:val="000000"/>
              </w:rPr>
            </w:pPr>
            <w:r w:rsidRPr="005F362C">
              <w:rPr>
                <w:rFonts w:ascii="Verdana" w:hAnsi="Verdana" w:cs="Open Sans"/>
                <w:b/>
                <w:bCs/>
              </w:rPr>
              <w:t>3,663,465,104</w:t>
            </w:r>
          </w:p>
        </w:tc>
        <w:tc>
          <w:tcPr>
            <w:tcW w:w="2238" w:type="dxa"/>
            <w:tcBorders>
              <w:top w:val="nil"/>
              <w:left w:val="nil"/>
              <w:bottom w:val="single" w:sz="4" w:space="0" w:color="auto"/>
              <w:right w:val="single" w:sz="4" w:space="0" w:color="auto"/>
            </w:tcBorders>
            <w:shd w:val="clear" w:color="auto" w:fill="auto"/>
            <w:noWrap/>
            <w:hideMark/>
          </w:tcPr>
          <w:p w14:paraId="00E63435" w14:textId="0F025C2F" w:rsidR="00BD1965" w:rsidRPr="00FA751C" w:rsidRDefault="005F362C" w:rsidP="00DA01C7">
            <w:pPr>
              <w:jc w:val="right"/>
              <w:rPr>
                <w:rFonts w:ascii="Verdana" w:hAnsi="Verdana" w:cs="Calibri"/>
                <w:b/>
                <w:bCs/>
                <w:color w:val="000000"/>
              </w:rPr>
            </w:pPr>
            <w:r w:rsidRPr="005F362C">
              <w:rPr>
                <w:rFonts w:ascii="Verdana" w:hAnsi="Verdana" w:cs="Open Sans"/>
                <w:b/>
                <w:bCs/>
              </w:rPr>
              <w:t>3,357,270,544</w:t>
            </w:r>
          </w:p>
        </w:tc>
      </w:tr>
      <w:tr w:rsidR="00BD1965" w:rsidRPr="00FA751C" w14:paraId="1DF67851" w14:textId="77777777" w:rsidTr="00DA01C7">
        <w:trPr>
          <w:trHeight w:val="162"/>
        </w:trPr>
        <w:tc>
          <w:tcPr>
            <w:tcW w:w="4309" w:type="dxa"/>
            <w:tcBorders>
              <w:top w:val="nil"/>
              <w:left w:val="single" w:sz="4" w:space="0" w:color="auto"/>
              <w:bottom w:val="single" w:sz="4" w:space="0" w:color="auto"/>
              <w:right w:val="single" w:sz="4" w:space="0" w:color="auto"/>
            </w:tcBorders>
            <w:shd w:val="clear" w:color="auto" w:fill="auto"/>
            <w:hideMark/>
          </w:tcPr>
          <w:p w14:paraId="77E3D6F0" w14:textId="77777777" w:rsidR="00BD1965" w:rsidRPr="00FA751C" w:rsidRDefault="00BD1965" w:rsidP="00DA01C7">
            <w:pPr>
              <w:rPr>
                <w:rFonts w:ascii="Verdana" w:hAnsi="Verdana" w:cs="Calibri"/>
                <w:b/>
                <w:bCs/>
              </w:rPr>
            </w:pPr>
            <w:r w:rsidRPr="00FA751C">
              <w:rPr>
                <w:rFonts w:ascii="Verdana" w:hAnsi="Verdana" w:cs="Calibri"/>
                <w:b/>
                <w:bCs/>
                <w:u w:val="single"/>
              </w:rPr>
              <w:t>Equity &amp; Liabilities:</w:t>
            </w:r>
          </w:p>
        </w:tc>
        <w:tc>
          <w:tcPr>
            <w:tcW w:w="2261" w:type="dxa"/>
            <w:tcBorders>
              <w:top w:val="nil"/>
              <w:left w:val="nil"/>
              <w:bottom w:val="single" w:sz="4" w:space="0" w:color="auto"/>
              <w:right w:val="single" w:sz="4" w:space="0" w:color="auto"/>
            </w:tcBorders>
            <w:shd w:val="clear" w:color="auto" w:fill="auto"/>
            <w:noWrap/>
            <w:hideMark/>
          </w:tcPr>
          <w:p w14:paraId="7AB9B8DF" w14:textId="77777777" w:rsidR="00BD1965" w:rsidRPr="00FA751C" w:rsidRDefault="00BD1965" w:rsidP="00DA01C7">
            <w:pPr>
              <w:jc w:val="right"/>
              <w:rPr>
                <w:rFonts w:ascii="Verdana" w:hAnsi="Verdana" w:cs="Calibri"/>
                <w:color w:val="000000"/>
              </w:rPr>
            </w:pPr>
            <w:r w:rsidRPr="00FA751C">
              <w:rPr>
                <w:rFonts w:ascii="Verdana" w:hAnsi="Verdana" w:cs="Calibri"/>
                <w:color w:val="000000"/>
              </w:rPr>
              <w:t> </w:t>
            </w:r>
          </w:p>
        </w:tc>
        <w:tc>
          <w:tcPr>
            <w:tcW w:w="2238" w:type="dxa"/>
            <w:tcBorders>
              <w:top w:val="nil"/>
              <w:left w:val="nil"/>
              <w:bottom w:val="single" w:sz="4" w:space="0" w:color="auto"/>
              <w:right w:val="single" w:sz="4" w:space="0" w:color="auto"/>
            </w:tcBorders>
            <w:shd w:val="clear" w:color="auto" w:fill="auto"/>
            <w:noWrap/>
            <w:hideMark/>
          </w:tcPr>
          <w:p w14:paraId="41F63906" w14:textId="77777777" w:rsidR="00BD1965" w:rsidRPr="00FA751C" w:rsidRDefault="00BD1965" w:rsidP="00DA01C7">
            <w:pPr>
              <w:jc w:val="right"/>
              <w:rPr>
                <w:rFonts w:ascii="Verdana" w:hAnsi="Verdana" w:cs="Calibri"/>
                <w:color w:val="000000"/>
              </w:rPr>
            </w:pPr>
            <w:r w:rsidRPr="00FA751C">
              <w:rPr>
                <w:rFonts w:ascii="Verdana" w:hAnsi="Verdana" w:cs="Calibri"/>
                <w:color w:val="000000"/>
              </w:rPr>
              <w:t> </w:t>
            </w:r>
          </w:p>
        </w:tc>
      </w:tr>
      <w:tr w:rsidR="00BD1965" w:rsidRPr="00FA751C" w14:paraId="7E63DF03" w14:textId="77777777" w:rsidTr="00DA01C7">
        <w:trPr>
          <w:trHeight w:val="167"/>
        </w:trPr>
        <w:tc>
          <w:tcPr>
            <w:tcW w:w="4309" w:type="dxa"/>
            <w:tcBorders>
              <w:top w:val="nil"/>
              <w:left w:val="single" w:sz="4" w:space="0" w:color="auto"/>
              <w:bottom w:val="single" w:sz="4" w:space="0" w:color="auto"/>
              <w:right w:val="single" w:sz="4" w:space="0" w:color="auto"/>
            </w:tcBorders>
            <w:shd w:val="clear" w:color="auto" w:fill="auto"/>
            <w:hideMark/>
          </w:tcPr>
          <w:p w14:paraId="13728CCD" w14:textId="19D216F7" w:rsidR="00BD1965" w:rsidRPr="00FA751C" w:rsidRDefault="005F362C" w:rsidP="00DA01C7">
            <w:pPr>
              <w:rPr>
                <w:rFonts w:ascii="Verdana" w:hAnsi="Verdana" w:cs="Calibri"/>
              </w:rPr>
            </w:pPr>
            <w:r w:rsidRPr="00FA751C">
              <w:rPr>
                <w:rFonts w:ascii="Verdana" w:hAnsi="Verdana" w:cs="Calibri"/>
              </w:rPr>
              <w:t xml:space="preserve">Total Shareholders’ Equity </w:t>
            </w:r>
          </w:p>
        </w:tc>
        <w:tc>
          <w:tcPr>
            <w:tcW w:w="2261" w:type="dxa"/>
            <w:tcBorders>
              <w:top w:val="nil"/>
              <w:left w:val="nil"/>
              <w:bottom w:val="single" w:sz="4" w:space="0" w:color="auto"/>
              <w:right w:val="single" w:sz="4" w:space="0" w:color="auto"/>
            </w:tcBorders>
            <w:shd w:val="clear" w:color="auto" w:fill="auto"/>
            <w:noWrap/>
            <w:hideMark/>
          </w:tcPr>
          <w:p w14:paraId="2C9051FE" w14:textId="0E2B53B4" w:rsidR="00BD1965" w:rsidRPr="00FA751C" w:rsidRDefault="00BD1965" w:rsidP="00DA01C7">
            <w:pPr>
              <w:jc w:val="right"/>
              <w:rPr>
                <w:rFonts w:ascii="Verdana" w:hAnsi="Verdana" w:cs="Calibri"/>
                <w:color w:val="000000"/>
              </w:rPr>
            </w:pPr>
            <w:r w:rsidRPr="00FA751C">
              <w:rPr>
                <w:rFonts w:ascii="Verdana" w:hAnsi="Verdana" w:cs="Calibri"/>
                <w:color w:val="000000"/>
              </w:rPr>
              <w:t xml:space="preserve">   </w:t>
            </w:r>
            <w:r w:rsidR="005F362C" w:rsidRPr="005F362C">
              <w:rPr>
                <w:rFonts w:ascii="Verdana" w:hAnsi="Verdana" w:cs="Open Sans"/>
              </w:rPr>
              <w:t>1,505,551,547</w:t>
            </w:r>
          </w:p>
        </w:tc>
        <w:tc>
          <w:tcPr>
            <w:tcW w:w="2238" w:type="dxa"/>
            <w:tcBorders>
              <w:top w:val="nil"/>
              <w:left w:val="nil"/>
              <w:bottom w:val="single" w:sz="4" w:space="0" w:color="auto"/>
              <w:right w:val="single" w:sz="4" w:space="0" w:color="auto"/>
            </w:tcBorders>
            <w:shd w:val="clear" w:color="auto" w:fill="auto"/>
            <w:noWrap/>
            <w:hideMark/>
          </w:tcPr>
          <w:p w14:paraId="37A6359F" w14:textId="6065CAA2" w:rsidR="00BD1965" w:rsidRPr="00FA751C" w:rsidRDefault="005F362C" w:rsidP="00DA01C7">
            <w:pPr>
              <w:jc w:val="right"/>
              <w:rPr>
                <w:rFonts w:ascii="Verdana" w:hAnsi="Verdana" w:cs="Calibri"/>
                <w:color w:val="000000"/>
              </w:rPr>
            </w:pPr>
            <w:r w:rsidRPr="005F362C">
              <w:rPr>
                <w:rFonts w:ascii="Verdana" w:hAnsi="Verdana" w:cs="Open Sans"/>
              </w:rPr>
              <w:t>1,770,059,246</w:t>
            </w:r>
          </w:p>
        </w:tc>
      </w:tr>
      <w:tr w:rsidR="00BD1965" w:rsidRPr="00FA751C" w14:paraId="006E8DCA" w14:textId="77777777" w:rsidTr="00DA01C7">
        <w:trPr>
          <w:trHeight w:val="162"/>
        </w:trPr>
        <w:tc>
          <w:tcPr>
            <w:tcW w:w="4309" w:type="dxa"/>
            <w:tcBorders>
              <w:top w:val="nil"/>
              <w:left w:val="single" w:sz="4" w:space="0" w:color="auto"/>
              <w:bottom w:val="single" w:sz="4" w:space="0" w:color="auto"/>
              <w:right w:val="single" w:sz="4" w:space="0" w:color="auto"/>
            </w:tcBorders>
            <w:shd w:val="clear" w:color="auto" w:fill="auto"/>
            <w:hideMark/>
          </w:tcPr>
          <w:p w14:paraId="3D473571" w14:textId="65A7E813" w:rsidR="00BD1965" w:rsidRPr="00FA751C" w:rsidRDefault="005F362C" w:rsidP="00DA01C7">
            <w:pPr>
              <w:rPr>
                <w:rFonts w:ascii="Verdana" w:hAnsi="Verdana" w:cs="Calibri"/>
              </w:rPr>
            </w:pPr>
            <w:r w:rsidRPr="00FA751C">
              <w:rPr>
                <w:rFonts w:ascii="Verdana" w:hAnsi="Verdana" w:cs="Calibri"/>
              </w:rPr>
              <w:t xml:space="preserve">Total </w:t>
            </w:r>
            <w:r w:rsidR="00BD1965" w:rsidRPr="00FA751C">
              <w:rPr>
                <w:rFonts w:ascii="Verdana" w:hAnsi="Verdana" w:cs="Calibri"/>
              </w:rPr>
              <w:t>Liabilities</w:t>
            </w:r>
          </w:p>
        </w:tc>
        <w:tc>
          <w:tcPr>
            <w:tcW w:w="2261" w:type="dxa"/>
            <w:tcBorders>
              <w:top w:val="nil"/>
              <w:left w:val="nil"/>
              <w:bottom w:val="single" w:sz="4" w:space="0" w:color="auto"/>
              <w:right w:val="single" w:sz="4" w:space="0" w:color="auto"/>
            </w:tcBorders>
            <w:shd w:val="clear" w:color="auto" w:fill="auto"/>
            <w:noWrap/>
          </w:tcPr>
          <w:p w14:paraId="6FDA03E5" w14:textId="53FC1342" w:rsidR="00BD1965" w:rsidRPr="00FA751C" w:rsidRDefault="005F362C" w:rsidP="00DA01C7">
            <w:pPr>
              <w:jc w:val="right"/>
              <w:rPr>
                <w:rFonts w:ascii="Verdana" w:hAnsi="Verdana" w:cs="Calibri"/>
              </w:rPr>
            </w:pPr>
            <w:r w:rsidRPr="005F362C">
              <w:rPr>
                <w:rFonts w:ascii="Verdana" w:hAnsi="Verdana" w:cs="Open Sans"/>
              </w:rPr>
              <w:t>2,157,913,557</w:t>
            </w:r>
          </w:p>
        </w:tc>
        <w:tc>
          <w:tcPr>
            <w:tcW w:w="2238" w:type="dxa"/>
            <w:tcBorders>
              <w:top w:val="nil"/>
              <w:left w:val="nil"/>
              <w:bottom w:val="single" w:sz="4" w:space="0" w:color="auto"/>
              <w:right w:val="single" w:sz="4" w:space="0" w:color="auto"/>
            </w:tcBorders>
            <w:shd w:val="clear" w:color="auto" w:fill="auto"/>
            <w:noWrap/>
          </w:tcPr>
          <w:p w14:paraId="19D44BD9" w14:textId="4F0C7A84" w:rsidR="00BD1965" w:rsidRPr="00FA751C" w:rsidRDefault="005F362C" w:rsidP="005F362C">
            <w:pPr>
              <w:jc w:val="right"/>
              <w:rPr>
                <w:rFonts w:ascii="Verdana" w:hAnsi="Verdana" w:cs="Calibri"/>
              </w:rPr>
            </w:pPr>
            <w:r w:rsidRPr="005F362C">
              <w:rPr>
                <w:rFonts w:ascii="Verdana" w:hAnsi="Verdana" w:cs="Open Sans"/>
              </w:rPr>
              <w:t>1,587,211,298</w:t>
            </w:r>
          </w:p>
        </w:tc>
      </w:tr>
      <w:tr w:rsidR="005F362C" w:rsidRPr="00FA751C" w14:paraId="69D3EA18" w14:textId="77777777" w:rsidTr="00DA01C7">
        <w:trPr>
          <w:trHeight w:val="162"/>
        </w:trPr>
        <w:tc>
          <w:tcPr>
            <w:tcW w:w="4309" w:type="dxa"/>
            <w:tcBorders>
              <w:top w:val="nil"/>
              <w:left w:val="single" w:sz="4" w:space="0" w:color="auto"/>
              <w:bottom w:val="single" w:sz="4" w:space="0" w:color="auto"/>
              <w:right w:val="single" w:sz="4" w:space="0" w:color="auto"/>
            </w:tcBorders>
            <w:shd w:val="clear" w:color="auto" w:fill="auto"/>
            <w:hideMark/>
          </w:tcPr>
          <w:p w14:paraId="00FF534B" w14:textId="77777777" w:rsidR="005F362C" w:rsidRPr="00FA751C" w:rsidRDefault="005F362C" w:rsidP="005F362C">
            <w:pPr>
              <w:rPr>
                <w:rFonts w:ascii="Verdana" w:hAnsi="Verdana" w:cs="Calibri"/>
                <w:b/>
                <w:bCs/>
              </w:rPr>
            </w:pPr>
            <w:r w:rsidRPr="00FA751C">
              <w:rPr>
                <w:rFonts w:ascii="Verdana" w:hAnsi="Verdana" w:cs="Arial"/>
                <w:b/>
                <w:bCs/>
              </w:rPr>
              <w:t xml:space="preserve">Total Equity &amp; Liabilities </w:t>
            </w:r>
          </w:p>
        </w:tc>
        <w:tc>
          <w:tcPr>
            <w:tcW w:w="2261" w:type="dxa"/>
            <w:tcBorders>
              <w:top w:val="nil"/>
              <w:left w:val="nil"/>
              <w:bottom w:val="single" w:sz="4" w:space="0" w:color="auto"/>
              <w:right w:val="single" w:sz="4" w:space="0" w:color="auto"/>
            </w:tcBorders>
            <w:shd w:val="clear" w:color="auto" w:fill="auto"/>
            <w:noWrap/>
            <w:hideMark/>
          </w:tcPr>
          <w:p w14:paraId="5E2B246C" w14:textId="0C3079AB" w:rsidR="005F362C" w:rsidRPr="00FA751C" w:rsidRDefault="005F362C" w:rsidP="005F362C">
            <w:pPr>
              <w:jc w:val="right"/>
              <w:rPr>
                <w:rFonts w:ascii="Verdana" w:hAnsi="Verdana" w:cs="Calibri"/>
                <w:b/>
                <w:bCs/>
                <w:color w:val="000000"/>
              </w:rPr>
            </w:pPr>
            <w:r w:rsidRPr="005F362C">
              <w:rPr>
                <w:rFonts w:ascii="Verdana" w:hAnsi="Verdana" w:cs="Open Sans"/>
                <w:b/>
                <w:bCs/>
              </w:rPr>
              <w:t>3,663,465,104</w:t>
            </w:r>
          </w:p>
        </w:tc>
        <w:tc>
          <w:tcPr>
            <w:tcW w:w="2238" w:type="dxa"/>
            <w:tcBorders>
              <w:top w:val="nil"/>
              <w:left w:val="nil"/>
              <w:bottom w:val="single" w:sz="4" w:space="0" w:color="auto"/>
              <w:right w:val="single" w:sz="4" w:space="0" w:color="auto"/>
            </w:tcBorders>
            <w:shd w:val="clear" w:color="auto" w:fill="auto"/>
            <w:noWrap/>
            <w:hideMark/>
          </w:tcPr>
          <w:p w14:paraId="38211FF6" w14:textId="4B5B6087" w:rsidR="005F362C" w:rsidRPr="00FA751C" w:rsidRDefault="005F362C" w:rsidP="005F362C">
            <w:pPr>
              <w:jc w:val="right"/>
              <w:rPr>
                <w:rFonts w:ascii="Verdana" w:hAnsi="Verdana" w:cs="Calibri"/>
                <w:b/>
                <w:bCs/>
                <w:color w:val="000000"/>
              </w:rPr>
            </w:pPr>
            <w:r w:rsidRPr="005F362C">
              <w:rPr>
                <w:rFonts w:ascii="Verdana" w:hAnsi="Verdana" w:cs="Open Sans"/>
                <w:b/>
                <w:bCs/>
              </w:rPr>
              <w:t>3,357,270,544</w:t>
            </w:r>
          </w:p>
        </w:tc>
      </w:tr>
    </w:tbl>
    <w:p w14:paraId="73622B0A" w14:textId="77777777" w:rsidR="00BD1965" w:rsidRDefault="00BD1965" w:rsidP="00C22F50">
      <w:pPr>
        <w:pStyle w:val="Default"/>
        <w:jc w:val="both"/>
        <w:rPr>
          <w:rFonts w:ascii="Verdana" w:hAnsi="Verdana" w:cs="Times New Roman"/>
        </w:rPr>
      </w:pPr>
    </w:p>
    <w:p w14:paraId="181A1DA1" w14:textId="0330A090" w:rsidR="00BD1965" w:rsidRPr="00B177BF" w:rsidRDefault="00BD1965" w:rsidP="00BD1965">
      <w:pPr>
        <w:pStyle w:val="Default"/>
        <w:ind w:left="720"/>
        <w:jc w:val="both"/>
        <w:rPr>
          <w:rFonts w:ascii="Verdana" w:hAnsi="Verdana" w:cs="Times New Roman"/>
        </w:rPr>
      </w:pPr>
      <w:r w:rsidRPr="00961F7C">
        <w:rPr>
          <w:rFonts w:ascii="Verdana" w:hAnsi="Verdana" w:cs="Times New Roman"/>
        </w:rPr>
        <w:t xml:space="preserve">We can see that the company’s Total Asset </w:t>
      </w:r>
      <w:r w:rsidR="005F362C">
        <w:rPr>
          <w:rFonts w:ascii="Verdana" w:hAnsi="Verdana" w:cs="Times New Roman"/>
        </w:rPr>
        <w:t>in</w:t>
      </w:r>
      <w:r w:rsidRPr="00961F7C">
        <w:rPr>
          <w:rFonts w:ascii="Verdana" w:hAnsi="Verdana" w:cs="Times New Roman"/>
        </w:rPr>
        <w:t xml:space="preserve">creased </w:t>
      </w:r>
      <w:r w:rsidR="005F362C">
        <w:rPr>
          <w:rFonts w:ascii="Verdana" w:hAnsi="Verdana" w:cs="Times New Roman"/>
        </w:rPr>
        <w:t xml:space="preserve">but total shareholders’ equity decreased </w:t>
      </w:r>
      <w:r w:rsidRPr="00961F7C">
        <w:rPr>
          <w:rFonts w:ascii="Verdana" w:hAnsi="Verdana" w:cs="Times New Roman"/>
        </w:rPr>
        <w:t xml:space="preserve">from </w:t>
      </w:r>
      <w:r w:rsidR="005F362C">
        <w:rPr>
          <w:rFonts w:ascii="Verdana" w:hAnsi="Verdana" w:cs="Times New Roman"/>
        </w:rPr>
        <w:t xml:space="preserve">June </w:t>
      </w:r>
      <w:r w:rsidRPr="00961F7C">
        <w:rPr>
          <w:rFonts w:ascii="Verdana" w:hAnsi="Verdana" w:cs="Times New Roman"/>
        </w:rPr>
        <w:t>20</w:t>
      </w:r>
      <w:r w:rsidR="005F362C">
        <w:rPr>
          <w:rFonts w:ascii="Verdana" w:hAnsi="Verdana" w:cs="Times New Roman"/>
        </w:rPr>
        <w:t>20</w:t>
      </w:r>
      <w:r w:rsidRPr="00961F7C">
        <w:rPr>
          <w:rFonts w:ascii="Verdana" w:hAnsi="Verdana" w:cs="Times New Roman"/>
        </w:rPr>
        <w:t xml:space="preserve"> to </w:t>
      </w:r>
      <w:r w:rsidR="005F362C">
        <w:rPr>
          <w:rFonts w:ascii="Verdana" w:hAnsi="Verdana" w:cs="Times New Roman"/>
        </w:rPr>
        <w:t xml:space="preserve">June </w:t>
      </w:r>
      <w:r w:rsidRPr="00961F7C">
        <w:rPr>
          <w:rFonts w:ascii="Verdana" w:hAnsi="Verdana" w:cs="Times New Roman"/>
        </w:rPr>
        <w:t>202</w:t>
      </w:r>
      <w:r w:rsidR="005F362C">
        <w:rPr>
          <w:rFonts w:ascii="Verdana" w:hAnsi="Verdana" w:cs="Times New Roman"/>
        </w:rPr>
        <w:t>1</w:t>
      </w:r>
      <w:r w:rsidRPr="00961F7C">
        <w:rPr>
          <w:rFonts w:ascii="Verdana" w:hAnsi="Verdana" w:cs="Times New Roman"/>
        </w:rPr>
        <w:t>.</w:t>
      </w:r>
      <w:r w:rsidR="005F362C">
        <w:rPr>
          <w:rFonts w:ascii="Verdana" w:hAnsi="Verdana" w:cs="Times New Roman"/>
        </w:rPr>
        <w:t xml:space="preserve"> Total shareholders’ equity of the company has been decreased due to net loss incurred attributed by COVID-19 impact. Still, considering </w:t>
      </w:r>
      <w:r w:rsidR="00EB6536">
        <w:rPr>
          <w:rFonts w:ascii="Verdana" w:hAnsi="Verdana" w:cs="Times New Roman"/>
        </w:rPr>
        <w:t xml:space="preserve">large </w:t>
      </w:r>
      <w:r w:rsidR="005F362C">
        <w:rPr>
          <w:rFonts w:ascii="Verdana" w:hAnsi="Verdana" w:cs="Times New Roman"/>
        </w:rPr>
        <w:t xml:space="preserve">base of non-current assets, overall financial position of the company is very strong. </w:t>
      </w:r>
    </w:p>
    <w:p w14:paraId="6F17CA33" w14:textId="2C72E156" w:rsidR="00BB2553" w:rsidRDefault="00BB2553" w:rsidP="001329B3">
      <w:pPr>
        <w:pStyle w:val="Default"/>
        <w:jc w:val="both"/>
        <w:rPr>
          <w:rFonts w:ascii="Verdana" w:hAnsi="Verdana" w:cs="Times New Roman"/>
        </w:rPr>
      </w:pPr>
    </w:p>
    <w:p w14:paraId="41B5775A" w14:textId="77777777" w:rsidR="00EC02C8" w:rsidRPr="00E67E7E" w:rsidRDefault="00EC02C8" w:rsidP="00101EBA">
      <w:pPr>
        <w:spacing w:after="120"/>
        <w:ind w:left="720"/>
        <w:jc w:val="both"/>
        <w:rPr>
          <w:rFonts w:ascii="Verdana" w:hAnsi="Verdana"/>
        </w:rPr>
      </w:pPr>
      <w:r w:rsidRPr="00E67E7E">
        <w:rPr>
          <w:rFonts w:ascii="Verdana" w:hAnsi="Verdana"/>
        </w:rPr>
        <w:t xml:space="preserve">Whether we perceive a higher risk in the form:  </w:t>
      </w:r>
    </w:p>
    <w:p w14:paraId="69B08E76" w14:textId="55534F38" w:rsidR="00EC02C8" w:rsidRPr="00E67E7E" w:rsidRDefault="00EC02C8" w:rsidP="00101EBA">
      <w:pPr>
        <w:ind w:left="720"/>
        <w:jc w:val="both"/>
        <w:rPr>
          <w:rFonts w:ascii="Verdana" w:hAnsi="Verdana"/>
        </w:rPr>
      </w:pPr>
      <w:r w:rsidRPr="00E67E7E">
        <w:rPr>
          <w:rFonts w:ascii="Verdana" w:hAnsi="Verdana"/>
        </w:rPr>
        <w:t xml:space="preserve">Client Risk:                                   </w:t>
      </w:r>
      <w:r w:rsidRPr="00E67E7E">
        <w:rPr>
          <w:rFonts w:ascii="Verdana" w:hAnsi="Verdana"/>
          <w:b/>
        </w:rPr>
        <w:t>No</w:t>
      </w:r>
    </w:p>
    <w:p w14:paraId="35562BBF" w14:textId="709736BD" w:rsidR="00EC02C8" w:rsidRPr="00E67E7E" w:rsidRDefault="00EC02C8" w:rsidP="00101EBA">
      <w:pPr>
        <w:autoSpaceDE w:val="0"/>
        <w:autoSpaceDN w:val="0"/>
        <w:adjustRightInd w:val="0"/>
        <w:ind w:left="720"/>
        <w:jc w:val="both"/>
        <w:rPr>
          <w:rFonts w:ascii="Verdana" w:hAnsi="Verdana"/>
        </w:rPr>
      </w:pPr>
      <w:r w:rsidRPr="00E67E7E">
        <w:rPr>
          <w:rFonts w:ascii="Verdana" w:hAnsi="Verdana"/>
        </w:rPr>
        <w:t>Professio</w:t>
      </w:r>
      <w:r w:rsidR="00DF21A5">
        <w:rPr>
          <w:rFonts w:ascii="Verdana" w:hAnsi="Verdana"/>
        </w:rPr>
        <w:t xml:space="preserve">nal Service Risk:             </w:t>
      </w:r>
      <w:r w:rsidR="00DF21A5" w:rsidRPr="00DF21A5">
        <w:rPr>
          <w:rFonts w:ascii="Verdana" w:hAnsi="Verdana"/>
          <w:sz w:val="36"/>
        </w:rPr>
        <w:t xml:space="preserve"> </w:t>
      </w:r>
      <w:r w:rsidRPr="00E67E7E">
        <w:rPr>
          <w:rFonts w:ascii="Verdana" w:hAnsi="Verdana"/>
          <w:b/>
        </w:rPr>
        <w:t>No</w:t>
      </w:r>
      <w:r w:rsidRPr="00E67E7E">
        <w:rPr>
          <w:rFonts w:ascii="Verdana" w:hAnsi="Verdana"/>
        </w:rPr>
        <w:t xml:space="preserve"> </w:t>
      </w:r>
    </w:p>
    <w:p w14:paraId="45D900EC" w14:textId="741BD2BD" w:rsidR="00EC02C8" w:rsidRPr="00E67E7E" w:rsidRDefault="00EC02C8" w:rsidP="00101EBA">
      <w:pPr>
        <w:autoSpaceDE w:val="0"/>
        <w:autoSpaceDN w:val="0"/>
        <w:adjustRightInd w:val="0"/>
        <w:ind w:left="720"/>
        <w:jc w:val="both"/>
        <w:rPr>
          <w:rFonts w:ascii="Verdana" w:hAnsi="Verdana"/>
        </w:rPr>
      </w:pPr>
      <w:r w:rsidRPr="00E67E7E">
        <w:rPr>
          <w:rFonts w:ascii="Verdana" w:hAnsi="Verdana"/>
        </w:rPr>
        <w:t xml:space="preserve">Overall Engagement Risk:              </w:t>
      </w:r>
      <w:r w:rsidRPr="00E67E7E">
        <w:rPr>
          <w:rFonts w:ascii="Verdana" w:hAnsi="Verdana"/>
          <w:b/>
        </w:rPr>
        <w:t>No</w:t>
      </w:r>
    </w:p>
    <w:p w14:paraId="7DB60881" w14:textId="77777777" w:rsidR="001C4F2E" w:rsidRPr="00E67E7E" w:rsidRDefault="001C4F2E" w:rsidP="001329B3">
      <w:pPr>
        <w:autoSpaceDE w:val="0"/>
        <w:autoSpaceDN w:val="0"/>
        <w:adjustRightInd w:val="0"/>
        <w:jc w:val="both"/>
        <w:rPr>
          <w:rFonts w:ascii="Verdana" w:eastAsiaTheme="minorHAnsi" w:hAnsi="Verdana"/>
        </w:rPr>
      </w:pPr>
    </w:p>
    <w:p w14:paraId="7C7095AB" w14:textId="77777777" w:rsidR="00EC02C8" w:rsidRPr="00101EBA" w:rsidRDefault="00EC02C8" w:rsidP="00101EBA">
      <w:pPr>
        <w:pStyle w:val="ListParagraph"/>
        <w:numPr>
          <w:ilvl w:val="0"/>
          <w:numId w:val="3"/>
        </w:numPr>
        <w:ind w:left="720"/>
        <w:jc w:val="both"/>
        <w:rPr>
          <w:rFonts w:ascii="Verdana" w:hAnsi="Verdana"/>
          <w:b/>
          <w:sz w:val="24"/>
          <w:szCs w:val="24"/>
          <w:u w:val="single"/>
        </w:rPr>
      </w:pPr>
      <w:r w:rsidRPr="00101EBA">
        <w:rPr>
          <w:rFonts w:ascii="Verdana" w:hAnsi="Verdana"/>
          <w:b/>
          <w:sz w:val="24"/>
          <w:szCs w:val="24"/>
          <w:u w:val="single"/>
        </w:rPr>
        <w:t>Business relationships and related parties</w:t>
      </w:r>
    </w:p>
    <w:p w14:paraId="062AC84C" w14:textId="77777777" w:rsidR="00EC02C8" w:rsidRPr="00E67E7E" w:rsidRDefault="00EC02C8" w:rsidP="001329B3">
      <w:pPr>
        <w:jc w:val="both"/>
        <w:rPr>
          <w:rFonts w:ascii="Verdana" w:hAnsi="Verdana"/>
        </w:rPr>
      </w:pPr>
    </w:p>
    <w:p w14:paraId="3F7A3125" w14:textId="71BD593D" w:rsidR="00EC02C8" w:rsidRDefault="00EC02C8" w:rsidP="001C4F2E">
      <w:pPr>
        <w:ind w:left="720"/>
        <w:jc w:val="both"/>
        <w:rPr>
          <w:rFonts w:ascii="Verdana" w:hAnsi="Verdana"/>
        </w:rPr>
      </w:pPr>
      <w:r w:rsidRPr="00E67E7E">
        <w:rPr>
          <w:rFonts w:ascii="Verdana" w:hAnsi="Verdana"/>
        </w:rPr>
        <w:t xml:space="preserve">We have </w:t>
      </w:r>
      <w:r w:rsidR="009E5CB3" w:rsidRPr="00E67E7E">
        <w:rPr>
          <w:rFonts w:ascii="Verdana" w:hAnsi="Verdana"/>
        </w:rPr>
        <w:t xml:space="preserve">reviewed the </w:t>
      </w:r>
      <w:r w:rsidR="002939A4" w:rsidRPr="00E67E7E">
        <w:rPr>
          <w:rFonts w:ascii="Verdana" w:hAnsi="Verdana"/>
        </w:rPr>
        <w:t xml:space="preserve">audited financial statements </w:t>
      </w:r>
      <w:proofErr w:type="gramStart"/>
      <w:r w:rsidRPr="00E67E7E">
        <w:rPr>
          <w:rFonts w:ascii="Verdana" w:hAnsi="Verdana"/>
        </w:rPr>
        <w:t>and also</w:t>
      </w:r>
      <w:proofErr w:type="gramEnd"/>
      <w:r w:rsidRPr="00E67E7E">
        <w:rPr>
          <w:rFonts w:ascii="Verdana" w:hAnsi="Verdana"/>
        </w:rPr>
        <w:t xml:space="preserve"> the disclosure of related parties as per </w:t>
      </w:r>
      <w:r w:rsidR="002939A4" w:rsidRPr="00E67E7E">
        <w:rPr>
          <w:rFonts w:ascii="Verdana" w:hAnsi="Verdana"/>
        </w:rPr>
        <w:t xml:space="preserve">IAS-24 </w:t>
      </w:r>
      <w:r w:rsidR="006202DC" w:rsidRPr="00E67E7E">
        <w:rPr>
          <w:rFonts w:ascii="Verdana" w:hAnsi="Verdana"/>
        </w:rPr>
        <w:t xml:space="preserve">and noted that the </w:t>
      </w:r>
      <w:r w:rsidR="00D76CE6">
        <w:rPr>
          <w:rFonts w:ascii="Verdana" w:hAnsi="Verdana"/>
        </w:rPr>
        <w:t>Entity</w:t>
      </w:r>
      <w:r w:rsidR="006202DC" w:rsidRPr="00E67E7E">
        <w:rPr>
          <w:rFonts w:ascii="Verdana" w:hAnsi="Verdana"/>
        </w:rPr>
        <w:t xml:space="preserve"> </w:t>
      </w:r>
      <w:r w:rsidR="00925641">
        <w:rPr>
          <w:rFonts w:ascii="Verdana" w:hAnsi="Verdana"/>
        </w:rPr>
        <w:t>has related party transactions</w:t>
      </w:r>
      <w:r w:rsidR="001C4F2E">
        <w:rPr>
          <w:rFonts w:ascii="Verdana" w:hAnsi="Verdana"/>
        </w:rPr>
        <w:t>.</w:t>
      </w:r>
      <w:r w:rsidR="00925641">
        <w:rPr>
          <w:rFonts w:ascii="Verdana" w:hAnsi="Verdana"/>
        </w:rPr>
        <w:t xml:space="preserve"> </w:t>
      </w:r>
      <w:r w:rsidR="00925641" w:rsidRPr="00925641">
        <w:rPr>
          <w:rFonts w:ascii="Verdana" w:hAnsi="Verdana"/>
        </w:rPr>
        <w:t xml:space="preserve">The </w:t>
      </w:r>
      <w:r w:rsidR="00D76CE6">
        <w:rPr>
          <w:rFonts w:ascii="Verdana" w:hAnsi="Verdana"/>
        </w:rPr>
        <w:t>Entity</w:t>
      </w:r>
      <w:r w:rsidR="00925641" w:rsidRPr="00925641">
        <w:rPr>
          <w:rFonts w:ascii="Verdana" w:hAnsi="Verdana"/>
        </w:rPr>
        <w:t xml:space="preserve"> carries out business with related parties in the ordinary course of business on an arm's length basis at commercial rates except for those transactions that the key management personnel have availed at concessionary rates which is applicable to all the eligible staffs. The </w:t>
      </w:r>
      <w:r w:rsidR="00D76CE6">
        <w:rPr>
          <w:rFonts w:ascii="Verdana" w:hAnsi="Verdana"/>
        </w:rPr>
        <w:t>Entity</w:t>
      </w:r>
      <w:r w:rsidR="00925641" w:rsidRPr="00925641">
        <w:rPr>
          <w:rFonts w:ascii="Verdana" w:hAnsi="Verdana"/>
        </w:rPr>
        <w:t xml:space="preserve"> did not have any related party transaction exceeding this</w:t>
      </w:r>
      <w:r w:rsidR="00BB2553">
        <w:rPr>
          <w:rFonts w:ascii="Verdana" w:hAnsi="Verdana"/>
        </w:rPr>
        <w:t xml:space="preserve"> threshold as at the end of 20</w:t>
      </w:r>
      <w:r w:rsidR="00331E3D">
        <w:rPr>
          <w:rFonts w:ascii="Verdana" w:hAnsi="Verdana"/>
        </w:rPr>
        <w:t>2</w:t>
      </w:r>
      <w:r w:rsidR="00885191">
        <w:rPr>
          <w:rFonts w:ascii="Verdana" w:hAnsi="Verdana"/>
        </w:rPr>
        <w:t>1</w:t>
      </w:r>
      <w:r w:rsidR="00925641" w:rsidRPr="00925641">
        <w:rPr>
          <w:rFonts w:ascii="Verdana" w:hAnsi="Verdana"/>
        </w:rPr>
        <w:t xml:space="preserve">. Transactions between the </w:t>
      </w:r>
      <w:r w:rsidR="00D76CE6">
        <w:rPr>
          <w:rFonts w:ascii="Verdana" w:hAnsi="Verdana"/>
        </w:rPr>
        <w:t>Entity</w:t>
      </w:r>
      <w:r w:rsidR="00925641" w:rsidRPr="00925641">
        <w:rPr>
          <w:rFonts w:ascii="Verdana" w:hAnsi="Verdana"/>
        </w:rPr>
        <w:t xml:space="preserve"> and its subsidiaries and outstanding amount within the group have </w:t>
      </w:r>
      <w:r w:rsidR="00925641">
        <w:rPr>
          <w:rFonts w:ascii="Verdana" w:hAnsi="Verdana"/>
        </w:rPr>
        <w:t xml:space="preserve">been disclosed in </w:t>
      </w:r>
      <w:r w:rsidR="001C4F2E">
        <w:rPr>
          <w:rFonts w:ascii="Verdana" w:hAnsi="Verdana"/>
        </w:rPr>
        <w:t>the audited financial statements.</w:t>
      </w:r>
    </w:p>
    <w:p w14:paraId="0D4DDCC4" w14:textId="6A774D36" w:rsidR="00925641" w:rsidRDefault="00925641" w:rsidP="00101EBA">
      <w:pPr>
        <w:autoSpaceDE w:val="0"/>
        <w:autoSpaceDN w:val="0"/>
        <w:adjustRightInd w:val="0"/>
        <w:ind w:left="720"/>
        <w:jc w:val="both"/>
        <w:rPr>
          <w:rFonts w:ascii="Verdana" w:hAnsi="Verdana"/>
        </w:rPr>
      </w:pPr>
    </w:p>
    <w:p w14:paraId="464C7810" w14:textId="5C195E37" w:rsidR="00EC02C8" w:rsidRDefault="00EC02C8" w:rsidP="00101EBA">
      <w:pPr>
        <w:ind w:left="720"/>
        <w:jc w:val="both"/>
        <w:rPr>
          <w:rFonts w:ascii="Verdana" w:hAnsi="Verdana"/>
        </w:rPr>
      </w:pPr>
      <w:r w:rsidRPr="00E67E7E">
        <w:rPr>
          <w:rFonts w:ascii="Verdana" w:hAnsi="Verdana"/>
        </w:rPr>
        <w:t xml:space="preserve">Whether we perceive a higher risk in the form:  </w:t>
      </w:r>
    </w:p>
    <w:p w14:paraId="54404876" w14:textId="77777777" w:rsidR="00827C7F" w:rsidRPr="00E67E7E" w:rsidRDefault="00827C7F" w:rsidP="00101EBA">
      <w:pPr>
        <w:ind w:left="720"/>
        <w:jc w:val="both"/>
        <w:rPr>
          <w:rFonts w:ascii="Verdana" w:hAnsi="Verdana"/>
        </w:rPr>
      </w:pPr>
    </w:p>
    <w:p w14:paraId="7EA6DCD1" w14:textId="5C03030F" w:rsidR="00EC02C8" w:rsidRPr="00E67E7E" w:rsidRDefault="00EC02C8" w:rsidP="00101EBA">
      <w:pPr>
        <w:ind w:left="720"/>
        <w:jc w:val="both"/>
        <w:rPr>
          <w:rFonts w:ascii="Verdana" w:hAnsi="Verdana"/>
        </w:rPr>
      </w:pPr>
      <w:r w:rsidRPr="00E67E7E">
        <w:rPr>
          <w:rFonts w:ascii="Verdana" w:hAnsi="Verdana"/>
        </w:rPr>
        <w:t xml:space="preserve">Client Risk:                                   </w:t>
      </w:r>
      <w:r w:rsidRPr="00E67E7E">
        <w:rPr>
          <w:rFonts w:ascii="Verdana" w:hAnsi="Verdana"/>
          <w:b/>
        </w:rPr>
        <w:t>No</w:t>
      </w:r>
    </w:p>
    <w:p w14:paraId="62724A6A" w14:textId="77777777" w:rsidR="00EC02C8" w:rsidRPr="00E67E7E" w:rsidRDefault="00EC02C8" w:rsidP="00101EBA">
      <w:pPr>
        <w:autoSpaceDE w:val="0"/>
        <w:autoSpaceDN w:val="0"/>
        <w:adjustRightInd w:val="0"/>
        <w:ind w:left="720"/>
        <w:jc w:val="both"/>
        <w:rPr>
          <w:rFonts w:ascii="Verdana" w:hAnsi="Verdana"/>
        </w:rPr>
      </w:pPr>
      <w:r w:rsidRPr="00E67E7E">
        <w:rPr>
          <w:rFonts w:ascii="Verdana" w:hAnsi="Verdana"/>
        </w:rPr>
        <w:t xml:space="preserve">Professional Service Risk:              </w:t>
      </w:r>
      <w:r w:rsidRPr="00DF21A5">
        <w:rPr>
          <w:rFonts w:ascii="Verdana" w:hAnsi="Verdana"/>
          <w:sz w:val="14"/>
        </w:rPr>
        <w:t xml:space="preserve"> </w:t>
      </w:r>
      <w:r w:rsidRPr="00E67E7E">
        <w:rPr>
          <w:rFonts w:ascii="Verdana" w:hAnsi="Verdana"/>
          <w:b/>
        </w:rPr>
        <w:t>No</w:t>
      </w:r>
      <w:r w:rsidRPr="00E67E7E">
        <w:rPr>
          <w:rFonts w:ascii="Verdana" w:hAnsi="Verdana"/>
        </w:rPr>
        <w:t xml:space="preserve"> </w:t>
      </w:r>
    </w:p>
    <w:p w14:paraId="559DB486" w14:textId="6A709405" w:rsidR="00EC02C8" w:rsidRPr="00E67E7E" w:rsidRDefault="00EC02C8" w:rsidP="00101EBA">
      <w:pPr>
        <w:autoSpaceDE w:val="0"/>
        <w:autoSpaceDN w:val="0"/>
        <w:adjustRightInd w:val="0"/>
        <w:ind w:left="720"/>
        <w:jc w:val="both"/>
        <w:rPr>
          <w:rFonts w:ascii="Verdana" w:hAnsi="Verdana"/>
        </w:rPr>
      </w:pPr>
      <w:r w:rsidRPr="00E67E7E">
        <w:rPr>
          <w:rFonts w:ascii="Verdana" w:hAnsi="Verdana"/>
        </w:rPr>
        <w:t xml:space="preserve">Overall Engagement Risk:             </w:t>
      </w:r>
      <w:r w:rsidRPr="00DF21A5">
        <w:rPr>
          <w:rFonts w:ascii="Verdana" w:hAnsi="Verdana"/>
          <w:sz w:val="30"/>
        </w:rPr>
        <w:t xml:space="preserve"> </w:t>
      </w:r>
      <w:r w:rsidRPr="00E67E7E">
        <w:rPr>
          <w:rFonts w:ascii="Verdana" w:hAnsi="Verdana"/>
          <w:b/>
        </w:rPr>
        <w:t>No</w:t>
      </w:r>
    </w:p>
    <w:p w14:paraId="4F4F0563" w14:textId="77777777" w:rsidR="00EC02C8" w:rsidRPr="00E67E7E" w:rsidRDefault="00EC02C8" w:rsidP="001329B3">
      <w:pPr>
        <w:jc w:val="both"/>
        <w:rPr>
          <w:rFonts w:ascii="Verdana" w:hAnsi="Verdana"/>
        </w:rPr>
      </w:pPr>
    </w:p>
    <w:p w14:paraId="258E975C" w14:textId="77777777" w:rsidR="00EC02C8" w:rsidRPr="00101EBA" w:rsidRDefault="00EC02C8" w:rsidP="00101EBA">
      <w:pPr>
        <w:pStyle w:val="ListParagraph"/>
        <w:numPr>
          <w:ilvl w:val="0"/>
          <w:numId w:val="3"/>
        </w:numPr>
        <w:ind w:left="720"/>
        <w:jc w:val="both"/>
        <w:rPr>
          <w:rFonts w:ascii="Verdana" w:hAnsi="Verdana"/>
          <w:b/>
          <w:sz w:val="24"/>
          <w:szCs w:val="24"/>
          <w:u w:val="single"/>
        </w:rPr>
      </w:pPr>
      <w:r w:rsidRPr="00101EBA">
        <w:rPr>
          <w:rFonts w:ascii="Verdana" w:hAnsi="Verdana"/>
          <w:b/>
          <w:sz w:val="24"/>
          <w:szCs w:val="24"/>
          <w:u w:val="single"/>
        </w:rPr>
        <w:t>Prior knowledge and experience</w:t>
      </w:r>
    </w:p>
    <w:p w14:paraId="6A516994" w14:textId="77777777" w:rsidR="00EC02C8" w:rsidRPr="00E67E7E" w:rsidRDefault="00EC02C8" w:rsidP="001329B3">
      <w:pPr>
        <w:jc w:val="both"/>
        <w:rPr>
          <w:rFonts w:ascii="Verdana" w:hAnsi="Verdana"/>
          <w:u w:val="single"/>
        </w:rPr>
      </w:pPr>
    </w:p>
    <w:p w14:paraId="00C85CB1" w14:textId="1CFA3D78" w:rsidR="00747C0B" w:rsidRDefault="005C55D7" w:rsidP="00747C0B">
      <w:pPr>
        <w:ind w:left="720"/>
        <w:jc w:val="both"/>
        <w:rPr>
          <w:rFonts w:ascii="Verdana" w:hAnsi="Verdana"/>
        </w:rPr>
      </w:pPr>
      <w:r>
        <w:rPr>
          <w:rFonts w:ascii="Verdana" w:hAnsi="Verdana"/>
        </w:rPr>
        <w:t xml:space="preserve">This is our </w:t>
      </w:r>
      <w:r w:rsidR="00AD69AA">
        <w:rPr>
          <w:rFonts w:ascii="Verdana" w:hAnsi="Verdana"/>
        </w:rPr>
        <w:t>third-year</w:t>
      </w:r>
      <w:r>
        <w:rPr>
          <w:rFonts w:ascii="Verdana" w:hAnsi="Verdana"/>
        </w:rPr>
        <w:t xml:space="preserve"> audit</w:t>
      </w:r>
      <w:r w:rsidR="00D7319A" w:rsidRPr="00E67E7E">
        <w:rPr>
          <w:rFonts w:ascii="Verdana" w:hAnsi="Verdana"/>
        </w:rPr>
        <w:t xml:space="preserve">. </w:t>
      </w:r>
      <w:r w:rsidR="00AD69AA">
        <w:rPr>
          <w:rFonts w:ascii="Verdana" w:hAnsi="Verdana"/>
        </w:rPr>
        <w:t>We have necessary resources and expertise to perform audit of</w:t>
      </w:r>
      <w:r w:rsidR="00D7319A" w:rsidRPr="00E67E7E">
        <w:rPr>
          <w:rFonts w:ascii="Verdana" w:hAnsi="Verdana"/>
        </w:rPr>
        <w:t xml:space="preserve"> </w:t>
      </w:r>
      <w:r w:rsidR="00BB2553">
        <w:rPr>
          <w:rFonts w:ascii="Verdana" w:hAnsi="Verdana"/>
        </w:rPr>
        <w:t>garments</w:t>
      </w:r>
      <w:r w:rsidR="00D7319A" w:rsidRPr="00E67E7E">
        <w:rPr>
          <w:rFonts w:ascii="Verdana" w:hAnsi="Verdana"/>
        </w:rPr>
        <w:t xml:space="preserve"> sector </w:t>
      </w:r>
      <w:r w:rsidR="00AD69AA">
        <w:rPr>
          <w:rFonts w:ascii="Verdana" w:hAnsi="Verdana"/>
        </w:rPr>
        <w:t>company</w:t>
      </w:r>
      <w:r w:rsidR="00D7319A" w:rsidRPr="00E67E7E">
        <w:rPr>
          <w:rFonts w:ascii="Verdana" w:hAnsi="Verdana"/>
        </w:rPr>
        <w:t>.</w:t>
      </w:r>
    </w:p>
    <w:p w14:paraId="78AF2E5E" w14:textId="77777777" w:rsidR="00747C0B" w:rsidRPr="00E67E7E" w:rsidRDefault="00747C0B" w:rsidP="001329B3">
      <w:pPr>
        <w:jc w:val="both"/>
        <w:rPr>
          <w:rFonts w:ascii="Verdana" w:hAnsi="Verdana"/>
        </w:rPr>
      </w:pPr>
    </w:p>
    <w:p w14:paraId="4321268E" w14:textId="77777777" w:rsidR="00223722" w:rsidRPr="00101EBA" w:rsidRDefault="00223722" w:rsidP="00101EBA">
      <w:pPr>
        <w:pStyle w:val="ListParagraph"/>
        <w:numPr>
          <w:ilvl w:val="0"/>
          <w:numId w:val="3"/>
        </w:numPr>
        <w:ind w:left="720"/>
        <w:jc w:val="both"/>
        <w:rPr>
          <w:rFonts w:ascii="Verdana" w:hAnsi="Verdana"/>
          <w:b/>
          <w:sz w:val="24"/>
          <w:szCs w:val="24"/>
          <w:u w:val="single"/>
        </w:rPr>
      </w:pPr>
      <w:r w:rsidRPr="00101EBA">
        <w:rPr>
          <w:rFonts w:ascii="Verdana" w:hAnsi="Verdana"/>
          <w:b/>
          <w:sz w:val="24"/>
          <w:szCs w:val="24"/>
          <w:u w:val="single"/>
        </w:rPr>
        <w:t xml:space="preserve">Other factors </w:t>
      </w:r>
    </w:p>
    <w:p w14:paraId="69D0EADA" w14:textId="77777777" w:rsidR="00223722" w:rsidRPr="00E67E7E" w:rsidRDefault="00223722" w:rsidP="001329B3">
      <w:pPr>
        <w:jc w:val="both"/>
        <w:rPr>
          <w:rFonts w:ascii="Verdana" w:hAnsi="Verdana"/>
          <w:u w:val="single"/>
        </w:rPr>
      </w:pPr>
    </w:p>
    <w:p w14:paraId="0ECEA229" w14:textId="77777777" w:rsidR="00223722" w:rsidRPr="00E67E7E" w:rsidRDefault="00223722" w:rsidP="00101EBA">
      <w:pPr>
        <w:ind w:firstLine="720"/>
        <w:jc w:val="both"/>
        <w:rPr>
          <w:rFonts w:ascii="Verdana" w:hAnsi="Verdana"/>
        </w:rPr>
      </w:pPr>
      <w:r w:rsidRPr="00E67E7E">
        <w:rPr>
          <w:rFonts w:ascii="Verdana" w:hAnsi="Verdana"/>
        </w:rPr>
        <w:lastRenderedPageBreak/>
        <w:t>We have also evaluated the following additional factors:</w:t>
      </w:r>
    </w:p>
    <w:p w14:paraId="282FC721" w14:textId="77777777" w:rsidR="00223722" w:rsidRPr="00E67E7E" w:rsidRDefault="00223722" w:rsidP="001329B3">
      <w:pPr>
        <w:jc w:val="both"/>
        <w:rPr>
          <w:rFonts w:ascii="Verdana" w:hAnsi="Verdana"/>
        </w:rPr>
      </w:pPr>
    </w:p>
    <w:tbl>
      <w:tblPr>
        <w:tblStyle w:val="TableGrid"/>
        <w:tblW w:w="8775" w:type="dxa"/>
        <w:tblInd w:w="760" w:type="dxa"/>
        <w:tblLook w:val="04A0" w:firstRow="1" w:lastRow="0" w:firstColumn="1" w:lastColumn="0" w:noHBand="0" w:noVBand="1"/>
      </w:tblPr>
      <w:tblGrid>
        <w:gridCol w:w="3285"/>
        <w:gridCol w:w="5490"/>
      </w:tblGrid>
      <w:tr w:rsidR="00223722" w:rsidRPr="00E67E7E" w14:paraId="6C55B79F" w14:textId="77777777" w:rsidTr="003827E4">
        <w:trPr>
          <w:trHeight w:val="316"/>
          <w:tblHeader/>
        </w:trPr>
        <w:tc>
          <w:tcPr>
            <w:tcW w:w="3285" w:type="dxa"/>
            <w:shd w:val="clear" w:color="auto" w:fill="000000" w:themeFill="text1"/>
          </w:tcPr>
          <w:p w14:paraId="4BF6F45C" w14:textId="77777777" w:rsidR="00223722" w:rsidRPr="00CF655B" w:rsidRDefault="00223722" w:rsidP="00CF655B">
            <w:pPr>
              <w:jc w:val="center"/>
              <w:rPr>
                <w:rFonts w:ascii="Verdana" w:hAnsi="Verdana"/>
                <w:b/>
                <w:bCs/>
                <w:lang w:val="en-IE"/>
              </w:rPr>
            </w:pPr>
            <w:r w:rsidRPr="00CF655B">
              <w:rPr>
                <w:rFonts w:ascii="Verdana" w:hAnsi="Verdana"/>
                <w:b/>
                <w:bCs/>
                <w:lang w:val="en-IE"/>
              </w:rPr>
              <w:t>Factors</w:t>
            </w:r>
          </w:p>
        </w:tc>
        <w:tc>
          <w:tcPr>
            <w:tcW w:w="5490" w:type="dxa"/>
            <w:shd w:val="clear" w:color="auto" w:fill="000000" w:themeFill="text1"/>
          </w:tcPr>
          <w:p w14:paraId="5C09502D" w14:textId="77777777" w:rsidR="00223722" w:rsidRPr="00CF655B" w:rsidRDefault="00223722" w:rsidP="00CF655B">
            <w:pPr>
              <w:jc w:val="center"/>
              <w:rPr>
                <w:rFonts w:ascii="Verdana" w:hAnsi="Verdana"/>
                <w:b/>
                <w:bCs/>
              </w:rPr>
            </w:pPr>
            <w:r w:rsidRPr="00CF655B">
              <w:rPr>
                <w:rFonts w:ascii="Verdana" w:hAnsi="Verdana"/>
                <w:b/>
                <w:bCs/>
              </w:rPr>
              <w:t>Evaluation</w:t>
            </w:r>
          </w:p>
        </w:tc>
      </w:tr>
      <w:tr w:rsidR="00223722" w:rsidRPr="00E67E7E" w14:paraId="7C5B3BE5" w14:textId="77777777" w:rsidTr="003827E4">
        <w:trPr>
          <w:trHeight w:val="302"/>
        </w:trPr>
        <w:tc>
          <w:tcPr>
            <w:tcW w:w="3285" w:type="dxa"/>
          </w:tcPr>
          <w:p w14:paraId="2F723078" w14:textId="77777777" w:rsidR="00223722" w:rsidRPr="00E67E7E" w:rsidRDefault="00223722" w:rsidP="00C722F5">
            <w:pPr>
              <w:jc w:val="both"/>
              <w:rPr>
                <w:rFonts w:ascii="Verdana" w:hAnsi="Verdana"/>
              </w:rPr>
            </w:pPr>
            <w:r w:rsidRPr="00E67E7E">
              <w:rPr>
                <w:rFonts w:ascii="Verdana" w:hAnsi="Verdana"/>
              </w:rPr>
              <w:t>History of fraud or allegations of fraud</w:t>
            </w:r>
          </w:p>
        </w:tc>
        <w:tc>
          <w:tcPr>
            <w:tcW w:w="5490" w:type="dxa"/>
          </w:tcPr>
          <w:p w14:paraId="66378E4E" w14:textId="07D1452F" w:rsidR="00223722" w:rsidRPr="00E67E7E" w:rsidRDefault="00223722" w:rsidP="00C722F5">
            <w:pPr>
              <w:jc w:val="both"/>
              <w:rPr>
                <w:rFonts w:ascii="Verdana" w:hAnsi="Verdana"/>
              </w:rPr>
            </w:pPr>
            <w:r w:rsidRPr="00E67E7E">
              <w:rPr>
                <w:rFonts w:ascii="Verdana" w:hAnsi="Verdana"/>
              </w:rPr>
              <w:t xml:space="preserve">No allegations of material fraud noted in recent years against the </w:t>
            </w:r>
            <w:r w:rsidR="00D76CE6">
              <w:rPr>
                <w:rFonts w:ascii="Verdana" w:hAnsi="Verdana"/>
              </w:rPr>
              <w:t>entity</w:t>
            </w:r>
            <w:r w:rsidRPr="00E67E7E">
              <w:rPr>
                <w:rFonts w:ascii="Verdana" w:hAnsi="Verdana"/>
              </w:rPr>
              <w:t>.</w:t>
            </w:r>
          </w:p>
        </w:tc>
      </w:tr>
      <w:tr w:rsidR="00223722" w:rsidRPr="00E67E7E" w14:paraId="3942F4F7" w14:textId="77777777" w:rsidTr="003827E4">
        <w:trPr>
          <w:trHeight w:val="302"/>
        </w:trPr>
        <w:tc>
          <w:tcPr>
            <w:tcW w:w="3285" w:type="dxa"/>
          </w:tcPr>
          <w:p w14:paraId="5315C02B" w14:textId="77777777" w:rsidR="00223722" w:rsidRPr="00E67E7E" w:rsidRDefault="00223722" w:rsidP="00C722F5">
            <w:pPr>
              <w:jc w:val="both"/>
              <w:rPr>
                <w:rFonts w:ascii="Verdana" w:hAnsi="Verdana"/>
              </w:rPr>
            </w:pPr>
            <w:r w:rsidRPr="00E67E7E">
              <w:rPr>
                <w:rFonts w:ascii="Verdana" w:hAnsi="Verdana"/>
                <w:lang w:val="en-IE"/>
              </w:rPr>
              <w:t>Nature of the business (audit &amp; accounting complexity; emerging or new business)</w:t>
            </w:r>
          </w:p>
        </w:tc>
        <w:tc>
          <w:tcPr>
            <w:tcW w:w="5490" w:type="dxa"/>
          </w:tcPr>
          <w:p w14:paraId="5A7AEF80" w14:textId="55839DF6" w:rsidR="00223722" w:rsidRPr="00E67E7E" w:rsidRDefault="00223722" w:rsidP="00BB2553">
            <w:pPr>
              <w:jc w:val="both"/>
              <w:rPr>
                <w:rFonts w:ascii="Verdana" w:hAnsi="Verdana"/>
              </w:rPr>
            </w:pPr>
            <w:r w:rsidRPr="00E67E7E">
              <w:rPr>
                <w:rFonts w:ascii="Verdana" w:hAnsi="Verdana"/>
              </w:rPr>
              <w:t xml:space="preserve">The entity is in the business of </w:t>
            </w:r>
            <w:r w:rsidR="00BB2553">
              <w:rPr>
                <w:rFonts w:ascii="Verdana" w:hAnsi="Verdana"/>
              </w:rPr>
              <w:t>readymade garments</w:t>
            </w:r>
            <w:r w:rsidRPr="00E67E7E">
              <w:rPr>
                <w:rFonts w:ascii="Verdana" w:hAnsi="Verdana"/>
              </w:rPr>
              <w:t xml:space="preserve">. This is duly considered as part of the engagement risk, which is classified as </w:t>
            </w:r>
            <w:r w:rsidR="005E7915">
              <w:rPr>
                <w:rFonts w:ascii="Verdana" w:hAnsi="Verdana"/>
              </w:rPr>
              <w:t>Normal</w:t>
            </w:r>
            <w:r w:rsidRPr="00E67E7E">
              <w:rPr>
                <w:rFonts w:ascii="Verdana" w:hAnsi="Verdana"/>
              </w:rPr>
              <w:t>.</w:t>
            </w:r>
          </w:p>
        </w:tc>
      </w:tr>
      <w:tr w:rsidR="00223722" w:rsidRPr="00E67E7E" w14:paraId="747FA1A5" w14:textId="77777777" w:rsidTr="003827E4">
        <w:trPr>
          <w:trHeight w:val="302"/>
        </w:trPr>
        <w:tc>
          <w:tcPr>
            <w:tcW w:w="3285" w:type="dxa"/>
          </w:tcPr>
          <w:p w14:paraId="58BC7E0C" w14:textId="77777777" w:rsidR="00223722" w:rsidRPr="00E67E7E" w:rsidRDefault="00223722" w:rsidP="00101EBA">
            <w:pPr>
              <w:rPr>
                <w:rFonts w:ascii="Verdana" w:hAnsi="Verdana"/>
              </w:rPr>
            </w:pPr>
            <w:r w:rsidRPr="00E67E7E">
              <w:rPr>
                <w:rFonts w:ascii="Verdana" w:hAnsi="Verdana"/>
                <w:lang w:val="en-IE"/>
              </w:rPr>
              <w:t>Regulatory or criminal investigations</w:t>
            </w:r>
          </w:p>
        </w:tc>
        <w:tc>
          <w:tcPr>
            <w:tcW w:w="5490" w:type="dxa"/>
          </w:tcPr>
          <w:p w14:paraId="523C75CA" w14:textId="77777777" w:rsidR="00223722" w:rsidRPr="00E67E7E" w:rsidRDefault="00223722" w:rsidP="00C722F5">
            <w:pPr>
              <w:jc w:val="both"/>
              <w:rPr>
                <w:rFonts w:ascii="Verdana" w:hAnsi="Verdana"/>
              </w:rPr>
            </w:pPr>
            <w:r w:rsidRPr="00E67E7E">
              <w:rPr>
                <w:rFonts w:ascii="Verdana" w:hAnsi="Verdana"/>
              </w:rPr>
              <w:t xml:space="preserve">None noted and no fines and penalties have been levied by any regulator. </w:t>
            </w:r>
          </w:p>
        </w:tc>
      </w:tr>
      <w:tr w:rsidR="00223722" w:rsidRPr="00E67E7E" w14:paraId="7DD37222" w14:textId="77777777" w:rsidTr="003827E4">
        <w:trPr>
          <w:trHeight w:val="302"/>
        </w:trPr>
        <w:tc>
          <w:tcPr>
            <w:tcW w:w="3285" w:type="dxa"/>
          </w:tcPr>
          <w:p w14:paraId="5F6919EC" w14:textId="77777777" w:rsidR="00223722" w:rsidRPr="00E67E7E" w:rsidRDefault="00223722" w:rsidP="00C722F5">
            <w:pPr>
              <w:jc w:val="both"/>
              <w:rPr>
                <w:rFonts w:ascii="Verdana" w:hAnsi="Verdana"/>
              </w:rPr>
            </w:pPr>
            <w:r w:rsidRPr="00E67E7E">
              <w:rPr>
                <w:rFonts w:ascii="Verdana" w:hAnsi="Verdana"/>
              </w:rPr>
              <w:t>Regular or frequent change in auditor (prior auditor resignation), outside of normal auditor rotation rules; prior auditor declined to stand for re-election</w:t>
            </w:r>
          </w:p>
        </w:tc>
        <w:tc>
          <w:tcPr>
            <w:tcW w:w="5490" w:type="dxa"/>
          </w:tcPr>
          <w:p w14:paraId="5E144AA0" w14:textId="77777777" w:rsidR="00223722" w:rsidRPr="00E67E7E" w:rsidRDefault="00223722" w:rsidP="00C722F5">
            <w:pPr>
              <w:jc w:val="both"/>
              <w:rPr>
                <w:rFonts w:ascii="Verdana" w:hAnsi="Verdana"/>
              </w:rPr>
            </w:pPr>
            <w:r w:rsidRPr="00E67E7E">
              <w:rPr>
                <w:rFonts w:ascii="Verdana" w:hAnsi="Verdana"/>
              </w:rPr>
              <w:t>No such case.</w:t>
            </w:r>
          </w:p>
          <w:p w14:paraId="4B7FB870" w14:textId="2CDAA09C" w:rsidR="00223722" w:rsidRPr="00E67E7E" w:rsidRDefault="00223722" w:rsidP="00C722F5">
            <w:pPr>
              <w:jc w:val="both"/>
              <w:rPr>
                <w:rFonts w:ascii="Verdana" w:hAnsi="Verdana"/>
              </w:rPr>
            </w:pPr>
          </w:p>
        </w:tc>
      </w:tr>
      <w:tr w:rsidR="00223722" w:rsidRPr="00E67E7E" w14:paraId="62EFC144" w14:textId="77777777" w:rsidTr="003827E4">
        <w:trPr>
          <w:trHeight w:val="302"/>
        </w:trPr>
        <w:tc>
          <w:tcPr>
            <w:tcW w:w="3285" w:type="dxa"/>
          </w:tcPr>
          <w:p w14:paraId="33CE6D33" w14:textId="77777777" w:rsidR="00223722" w:rsidRPr="00E67E7E" w:rsidRDefault="00223722" w:rsidP="00C722F5">
            <w:pPr>
              <w:jc w:val="both"/>
              <w:rPr>
                <w:rFonts w:ascii="Verdana" w:hAnsi="Verdana"/>
              </w:rPr>
            </w:pPr>
            <w:r w:rsidRPr="00E67E7E">
              <w:rPr>
                <w:rFonts w:ascii="Verdana" w:hAnsi="Verdana"/>
              </w:rPr>
              <w:t>Restatements of prior financial statements</w:t>
            </w:r>
          </w:p>
        </w:tc>
        <w:tc>
          <w:tcPr>
            <w:tcW w:w="5490" w:type="dxa"/>
          </w:tcPr>
          <w:p w14:paraId="11401845" w14:textId="285FECDA" w:rsidR="00223722" w:rsidRPr="00E67E7E" w:rsidRDefault="00223722" w:rsidP="00C722F5">
            <w:pPr>
              <w:jc w:val="both"/>
              <w:rPr>
                <w:rFonts w:ascii="Verdana" w:hAnsi="Verdana"/>
              </w:rPr>
            </w:pPr>
            <w:r w:rsidRPr="00E67E7E">
              <w:rPr>
                <w:rFonts w:ascii="Verdana" w:hAnsi="Verdana"/>
              </w:rPr>
              <w:t>None noted</w:t>
            </w:r>
            <w:r w:rsidR="003827E4">
              <w:rPr>
                <w:rFonts w:ascii="Verdana" w:hAnsi="Verdana"/>
              </w:rPr>
              <w:t>.</w:t>
            </w:r>
            <w:r w:rsidRPr="00E67E7E">
              <w:rPr>
                <w:rFonts w:ascii="Verdana" w:hAnsi="Verdana"/>
              </w:rPr>
              <w:t xml:space="preserve"> </w:t>
            </w:r>
          </w:p>
        </w:tc>
      </w:tr>
      <w:tr w:rsidR="00223722" w:rsidRPr="00E67E7E" w14:paraId="01198C1F" w14:textId="77777777" w:rsidTr="003827E4">
        <w:trPr>
          <w:trHeight w:val="147"/>
        </w:trPr>
        <w:tc>
          <w:tcPr>
            <w:tcW w:w="3285" w:type="dxa"/>
          </w:tcPr>
          <w:p w14:paraId="22D6425E" w14:textId="77777777" w:rsidR="00223722" w:rsidRPr="00E67E7E" w:rsidRDefault="00223722" w:rsidP="00C722F5">
            <w:pPr>
              <w:jc w:val="both"/>
              <w:rPr>
                <w:rFonts w:ascii="Verdana" w:hAnsi="Verdana"/>
              </w:rPr>
            </w:pPr>
            <w:r w:rsidRPr="00E67E7E">
              <w:rPr>
                <w:rFonts w:ascii="Verdana" w:hAnsi="Verdana"/>
              </w:rPr>
              <w:t>Unusually aggressive time constraints to complete the audit</w:t>
            </w:r>
          </w:p>
        </w:tc>
        <w:tc>
          <w:tcPr>
            <w:tcW w:w="5490" w:type="dxa"/>
          </w:tcPr>
          <w:p w14:paraId="08EE1076" w14:textId="67B30521" w:rsidR="000B6E2E" w:rsidRPr="00E67E7E" w:rsidRDefault="000B6E2E" w:rsidP="003827E4">
            <w:pPr>
              <w:rPr>
                <w:rFonts w:ascii="Verdana" w:hAnsi="Verdana"/>
              </w:rPr>
            </w:pPr>
            <w:r w:rsidRPr="00E67E7E">
              <w:rPr>
                <w:rFonts w:ascii="Verdana" w:hAnsi="Verdana"/>
              </w:rPr>
              <w:t>Nothing is noted f</w:t>
            </w:r>
            <w:r w:rsidR="005E7915">
              <w:rPr>
                <w:rFonts w:ascii="Verdana" w:hAnsi="Verdana"/>
              </w:rPr>
              <w:t>rom the management end</w:t>
            </w:r>
            <w:r w:rsidRPr="00E67E7E">
              <w:rPr>
                <w:rFonts w:ascii="Verdana" w:hAnsi="Verdana"/>
              </w:rPr>
              <w:t>.</w:t>
            </w:r>
          </w:p>
          <w:p w14:paraId="2A3C84BB" w14:textId="77777777" w:rsidR="000B6E2E" w:rsidRPr="00856654" w:rsidRDefault="000B6E2E" w:rsidP="00C722F5">
            <w:pPr>
              <w:jc w:val="both"/>
              <w:rPr>
                <w:rFonts w:ascii="Verdana" w:hAnsi="Verdana"/>
                <w:sz w:val="16"/>
              </w:rPr>
            </w:pPr>
          </w:p>
          <w:p w14:paraId="44AF9EE2" w14:textId="77777777" w:rsidR="000B6E2E" w:rsidRPr="00E67E7E" w:rsidRDefault="000B6E2E" w:rsidP="00C722F5">
            <w:pPr>
              <w:jc w:val="both"/>
              <w:rPr>
                <w:rFonts w:ascii="Verdana" w:hAnsi="Verdana"/>
              </w:rPr>
            </w:pPr>
            <w:r w:rsidRPr="00E67E7E">
              <w:rPr>
                <w:rFonts w:ascii="Verdana" w:hAnsi="Verdana"/>
              </w:rPr>
              <w:t>In view of this requirement, we plan the following actions:</w:t>
            </w:r>
          </w:p>
          <w:p w14:paraId="4D243532" w14:textId="35EB8BD3" w:rsidR="00223722" w:rsidRPr="003827E4" w:rsidRDefault="00223722" w:rsidP="003827E4">
            <w:pPr>
              <w:pStyle w:val="ListParagraph"/>
              <w:numPr>
                <w:ilvl w:val="0"/>
                <w:numId w:val="25"/>
              </w:numPr>
              <w:tabs>
                <w:tab w:val="left" w:pos="1440"/>
                <w:tab w:val="left" w:pos="2970"/>
                <w:tab w:val="left" w:pos="8910"/>
                <w:tab w:val="left" w:pos="10530"/>
                <w:tab w:val="left" w:pos="12240"/>
                <w:tab w:val="left" w:pos="19800"/>
                <w:tab w:val="left" w:pos="20700"/>
              </w:tabs>
              <w:spacing w:before="60" w:after="60"/>
              <w:ind w:left="342" w:right="30" w:hanging="342"/>
              <w:rPr>
                <w:rFonts w:ascii="Verdana" w:eastAsiaTheme="minorHAnsi" w:hAnsi="Verdana"/>
                <w:sz w:val="24"/>
                <w:szCs w:val="24"/>
              </w:rPr>
            </w:pPr>
            <w:r w:rsidRPr="00E67E7E">
              <w:rPr>
                <w:rFonts w:ascii="Verdana" w:eastAsiaTheme="minorHAnsi" w:hAnsi="Verdana"/>
                <w:sz w:val="24"/>
                <w:szCs w:val="24"/>
              </w:rPr>
              <w:t xml:space="preserve">Experienced Engagement team with relevant </w:t>
            </w:r>
            <w:r w:rsidR="00D76CE6">
              <w:rPr>
                <w:rFonts w:ascii="Verdana" w:eastAsiaTheme="minorHAnsi" w:hAnsi="Verdana"/>
                <w:sz w:val="24"/>
                <w:szCs w:val="24"/>
              </w:rPr>
              <w:t>entity</w:t>
            </w:r>
            <w:r w:rsidR="000B6E2E" w:rsidRPr="00E67E7E">
              <w:rPr>
                <w:rFonts w:ascii="Verdana" w:eastAsiaTheme="minorHAnsi" w:hAnsi="Verdana"/>
                <w:sz w:val="24"/>
                <w:szCs w:val="24"/>
              </w:rPr>
              <w:t xml:space="preserve"> audit </w:t>
            </w:r>
            <w:r w:rsidRPr="00E67E7E">
              <w:rPr>
                <w:rFonts w:ascii="Verdana" w:eastAsiaTheme="minorHAnsi" w:hAnsi="Verdana"/>
                <w:sz w:val="24"/>
                <w:szCs w:val="24"/>
              </w:rPr>
              <w:t>experience</w:t>
            </w:r>
            <w:r w:rsidR="003827E4">
              <w:rPr>
                <w:rFonts w:ascii="Verdana" w:eastAsiaTheme="minorHAnsi" w:hAnsi="Verdana"/>
                <w:sz w:val="24"/>
                <w:szCs w:val="24"/>
              </w:rPr>
              <w:t>.</w:t>
            </w:r>
          </w:p>
        </w:tc>
      </w:tr>
      <w:tr w:rsidR="00223722" w:rsidRPr="00E67E7E" w14:paraId="4BC32935" w14:textId="77777777" w:rsidTr="003827E4">
        <w:trPr>
          <w:trHeight w:val="147"/>
        </w:trPr>
        <w:tc>
          <w:tcPr>
            <w:tcW w:w="3285" w:type="dxa"/>
          </w:tcPr>
          <w:p w14:paraId="4C212347" w14:textId="77777777" w:rsidR="00223722" w:rsidRPr="00E67E7E" w:rsidRDefault="00223722" w:rsidP="005C55D7">
            <w:pPr>
              <w:rPr>
                <w:rFonts w:ascii="Verdana" w:hAnsi="Verdana"/>
              </w:rPr>
            </w:pPr>
            <w:r w:rsidRPr="00E67E7E">
              <w:rPr>
                <w:rFonts w:ascii="Verdana" w:hAnsi="Verdana"/>
              </w:rPr>
              <w:t xml:space="preserve">Association risk with an industry or business practice(s) that could potentially damage the Deloitte brand </w:t>
            </w:r>
          </w:p>
        </w:tc>
        <w:tc>
          <w:tcPr>
            <w:tcW w:w="5490" w:type="dxa"/>
          </w:tcPr>
          <w:p w14:paraId="2E534678" w14:textId="29C8F013" w:rsidR="00223722" w:rsidRPr="00E67E7E" w:rsidRDefault="00223722" w:rsidP="00BD46B9">
            <w:pPr>
              <w:jc w:val="both"/>
              <w:rPr>
                <w:rFonts w:ascii="Verdana" w:hAnsi="Verdana"/>
                <w:b/>
              </w:rPr>
            </w:pPr>
            <w:r w:rsidRPr="00E67E7E">
              <w:rPr>
                <w:rFonts w:ascii="Verdana" w:hAnsi="Verdana"/>
              </w:rPr>
              <w:t xml:space="preserve">Consistent with auditing any </w:t>
            </w:r>
            <w:r w:rsidR="00BD46B9">
              <w:rPr>
                <w:rFonts w:ascii="Verdana" w:hAnsi="Verdana"/>
              </w:rPr>
              <w:t>garments</w:t>
            </w:r>
            <w:r w:rsidRPr="00E67E7E">
              <w:rPr>
                <w:rFonts w:ascii="Verdana" w:hAnsi="Verdana"/>
              </w:rPr>
              <w:t xml:space="preserve"> in </w:t>
            </w:r>
            <w:r w:rsidR="001B49C6" w:rsidRPr="00E67E7E">
              <w:rPr>
                <w:rFonts w:ascii="Verdana" w:hAnsi="Verdana"/>
              </w:rPr>
              <w:t>Bangladesh</w:t>
            </w:r>
          </w:p>
        </w:tc>
      </w:tr>
      <w:tr w:rsidR="00223722" w:rsidRPr="00E67E7E" w14:paraId="23D39DCD" w14:textId="77777777" w:rsidTr="003827E4">
        <w:trPr>
          <w:trHeight w:val="323"/>
        </w:trPr>
        <w:tc>
          <w:tcPr>
            <w:tcW w:w="3285" w:type="dxa"/>
          </w:tcPr>
          <w:p w14:paraId="1910B843" w14:textId="77777777" w:rsidR="00223722" w:rsidRPr="00E67E7E" w:rsidRDefault="00223722" w:rsidP="00123DA3">
            <w:pPr>
              <w:jc w:val="both"/>
              <w:rPr>
                <w:rFonts w:ascii="Verdana" w:hAnsi="Verdana"/>
              </w:rPr>
            </w:pPr>
            <w:r w:rsidRPr="00E67E7E">
              <w:rPr>
                <w:rFonts w:ascii="Verdana" w:hAnsi="Verdana"/>
              </w:rPr>
              <w:t>High adverse media/publicity</w:t>
            </w:r>
          </w:p>
        </w:tc>
        <w:tc>
          <w:tcPr>
            <w:tcW w:w="5490" w:type="dxa"/>
          </w:tcPr>
          <w:p w14:paraId="3179AC4C" w14:textId="77777777" w:rsidR="00223722" w:rsidRPr="00E67E7E" w:rsidRDefault="00223722" w:rsidP="00123DA3">
            <w:pPr>
              <w:jc w:val="both"/>
              <w:rPr>
                <w:rFonts w:ascii="Verdana" w:hAnsi="Verdana"/>
              </w:rPr>
            </w:pPr>
            <w:r w:rsidRPr="00E67E7E">
              <w:rPr>
                <w:rFonts w:ascii="Verdana" w:hAnsi="Verdana"/>
              </w:rPr>
              <w:t>None noted</w:t>
            </w:r>
          </w:p>
        </w:tc>
      </w:tr>
      <w:tr w:rsidR="00223722" w:rsidRPr="00E67E7E" w14:paraId="6EFB1806" w14:textId="77777777" w:rsidTr="003827E4">
        <w:trPr>
          <w:trHeight w:val="147"/>
        </w:trPr>
        <w:tc>
          <w:tcPr>
            <w:tcW w:w="3285" w:type="dxa"/>
          </w:tcPr>
          <w:p w14:paraId="0859922D" w14:textId="77777777" w:rsidR="00223722" w:rsidRPr="00E67E7E" w:rsidRDefault="00223722" w:rsidP="00123DA3">
            <w:pPr>
              <w:jc w:val="both"/>
              <w:rPr>
                <w:rFonts w:ascii="Verdana" w:hAnsi="Verdana"/>
              </w:rPr>
            </w:pPr>
            <w:r w:rsidRPr="00E67E7E">
              <w:rPr>
                <w:rFonts w:ascii="Verdana" w:hAnsi="Verdana"/>
              </w:rPr>
              <w:t xml:space="preserve">Part of an interrelated family of affiliated entities with related party transactions &amp; Deloitte MFs do not audit these entities </w:t>
            </w:r>
          </w:p>
        </w:tc>
        <w:tc>
          <w:tcPr>
            <w:tcW w:w="5490" w:type="dxa"/>
          </w:tcPr>
          <w:p w14:paraId="036DFBB0" w14:textId="4EB74235" w:rsidR="00223722" w:rsidRPr="003D2D70" w:rsidRDefault="00BD46B9" w:rsidP="00885191">
            <w:pPr>
              <w:pStyle w:val="ListParagraph"/>
              <w:numPr>
                <w:ilvl w:val="0"/>
                <w:numId w:val="28"/>
              </w:numPr>
              <w:ind w:left="340" w:hanging="340"/>
              <w:jc w:val="both"/>
              <w:rPr>
                <w:rFonts w:ascii="Verdana" w:hAnsi="Verdana"/>
                <w:sz w:val="24"/>
                <w:szCs w:val="24"/>
              </w:rPr>
            </w:pPr>
            <w:r w:rsidRPr="003D2D70">
              <w:rPr>
                <w:rFonts w:ascii="Verdana" w:hAnsi="Verdana"/>
                <w:sz w:val="24"/>
                <w:szCs w:val="24"/>
              </w:rPr>
              <w:t>Epic Apparels Limited</w:t>
            </w:r>
          </w:p>
          <w:p w14:paraId="140691AC" w14:textId="77EB3B17" w:rsidR="00BD46B9" w:rsidRPr="003D2D70" w:rsidRDefault="006B4FDE" w:rsidP="00885191">
            <w:pPr>
              <w:pStyle w:val="ListParagraph"/>
              <w:numPr>
                <w:ilvl w:val="0"/>
                <w:numId w:val="28"/>
              </w:numPr>
              <w:ind w:left="340" w:hanging="340"/>
              <w:jc w:val="both"/>
              <w:rPr>
                <w:rFonts w:ascii="Verdana" w:hAnsi="Verdana"/>
                <w:sz w:val="24"/>
                <w:szCs w:val="24"/>
              </w:rPr>
            </w:pPr>
            <w:r w:rsidRPr="003D2D70">
              <w:rPr>
                <w:rFonts w:ascii="Verdana" w:hAnsi="Verdana"/>
                <w:sz w:val="24"/>
                <w:szCs w:val="24"/>
              </w:rPr>
              <w:t>Epic Garments Manufacturing Co. Limited</w:t>
            </w:r>
          </w:p>
          <w:p w14:paraId="4457A35D" w14:textId="77777777" w:rsidR="00BD46B9" w:rsidRPr="000829FD" w:rsidRDefault="00BD46B9" w:rsidP="00885191">
            <w:pPr>
              <w:pStyle w:val="ListParagraph"/>
              <w:numPr>
                <w:ilvl w:val="0"/>
                <w:numId w:val="28"/>
              </w:numPr>
              <w:ind w:left="340" w:hanging="340"/>
              <w:jc w:val="both"/>
              <w:rPr>
                <w:rFonts w:ascii="Verdana" w:hAnsi="Verdana"/>
              </w:rPr>
            </w:pPr>
            <w:r w:rsidRPr="003D2D70">
              <w:rPr>
                <w:rFonts w:ascii="Verdana" w:hAnsi="Verdana"/>
                <w:sz w:val="24"/>
                <w:szCs w:val="24"/>
              </w:rPr>
              <w:t>Pearl Garments Company Private Limited</w:t>
            </w:r>
          </w:p>
          <w:p w14:paraId="49259F54" w14:textId="77777777" w:rsidR="000829FD" w:rsidRDefault="000829FD" w:rsidP="000829FD">
            <w:pPr>
              <w:jc w:val="both"/>
              <w:rPr>
                <w:rFonts w:ascii="Verdana" w:hAnsi="Verdana"/>
              </w:rPr>
            </w:pPr>
          </w:p>
          <w:p w14:paraId="6F496D82" w14:textId="2AF00D71" w:rsidR="000829FD" w:rsidRPr="000829FD" w:rsidRDefault="000829FD" w:rsidP="000829FD">
            <w:pPr>
              <w:jc w:val="both"/>
              <w:rPr>
                <w:rFonts w:ascii="Verdana" w:hAnsi="Verdana"/>
              </w:rPr>
            </w:pPr>
            <w:r>
              <w:rPr>
                <w:rFonts w:ascii="Verdana" w:hAnsi="Verdana"/>
              </w:rPr>
              <w:t>Deloitte Bangladesh is the auditors of the entities.</w:t>
            </w:r>
          </w:p>
        </w:tc>
      </w:tr>
      <w:tr w:rsidR="00223722" w:rsidRPr="00E67E7E" w14:paraId="1B423BE0" w14:textId="77777777" w:rsidTr="003827E4">
        <w:trPr>
          <w:trHeight w:val="302"/>
        </w:trPr>
        <w:tc>
          <w:tcPr>
            <w:tcW w:w="3285" w:type="dxa"/>
          </w:tcPr>
          <w:p w14:paraId="05035A50" w14:textId="77777777" w:rsidR="00223722" w:rsidRPr="00E67E7E" w:rsidRDefault="00223722" w:rsidP="00747C0B">
            <w:pPr>
              <w:rPr>
                <w:rFonts w:ascii="Verdana" w:hAnsi="Verdana"/>
              </w:rPr>
            </w:pPr>
            <w:r w:rsidRPr="00E67E7E">
              <w:rPr>
                <w:rFonts w:ascii="Verdana" w:hAnsi="Verdana"/>
              </w:rPr>
              <w:t>Planned Initial Public Offering</w:t>
            </w:r>
          </w:p>
        </w:tc>
        <w:tc>
          <w:tcPr>
            <w:tcW w:w="5490" w:type="dxa"/>
          </w:tcPr>
          <w:p w14:paraId="2B0288AE" w14:textId="4B792B12" w:rsidR="00223722" w:rsidRPr="00E67E7E" w:rsidRDefault="00C22B9C" w:rsidP="00BD46B9">
            <w:pPr>
              <w:jc w:val="both"/>
              <w:rPr>
                <w:rFonts w:ascii="Verdana" w:hAnsi="Verdana"/>
              </w:rPr>
            </w:pPr>
            <w:r>
              <w:rPr>
                <w:rFonts w:ascii="Verdana" w:hAnsi="Verdana"/>
              </w:rPr>
              <w:t>No</w:t>
            </w:r>
          </w:p>
        </w:tc>
      </w:tr>
      <w:tr w:rsidR="00383334" w:rsidRPr="00E67E7E" w14:paraId="258D3450" w14:textId="77777777" w:rsidTr="003827E4">
        <w:trPr>
          <w:trHeight w:val="302"/>
        </w:trPr>
        <w:tc>
          <w:tcPr>
            <w:tcW w:w="3285" w:type="dxa"/>
          </w:tcPr>
          <w:p w14:paraId="56FFD0D9" w14:textId="77777777" w:rsidR="00383334" w:rsidRPr="00E67E7E" w:rsidRDefault="00383334" w:rsidP="00123DA3">
            <w:pPr>
              <w:jc w:val="both"/>
              <w:rPr>
                <w:rFonts w:ascii="Verdana" w:hAnsi="Verdana"/>
              </w:rPr>
            </w:pPr>
            <w:r w:rsidRPr="00E67E7E">
              <w:rPr>
                <w:rFonts w:ascii="Verdana" w:hAnsi="Verdana"/>
              </w:rPr>
              <w:t>Other factors</w:t>
            </w:r>
          </w:p>
        </w:tc>
        <w:tc>
          <w:tcPr>
            <w:tcW w:w="5490" w:type="dxa"/>
          </w:tcPr>
          <w:p w14:paraId="2EC33FC6" w14:textId="11BE711C" w:rsidR="00BD46B9" w:rsidRPr="00BD46B9" w:rsidRDefault="00383334" w:rsidP="00BD46B9">
            <w:pPr>
              <w:pStyle w:val="ListParagraph"/>
              <w:numPr>
                <w:ilvl w:val="0"/>
                <w:numId w:val="25"/>
              </w:numPr>
              <w:tabs>
                <w:tab w:val="left" w:pos="1440"/>
                <w:tab w:val="left" w:pos="2970"/>
                <w:tab w:val="left" w:pos="8910"/>
                <w:tab w:val="left" w:pos="10530"/>
                <w:tab w:val="left" w:pos="12240"/>
                <w:tab w:val="left" w:pos="19800"/>
                <w:tab w:val="left" w:pos="20700"/>
              </w:tabs>
              <w:spacing w:before="60" w:after="60"/>
              <w:ind w:left="342" w:right="30" w:hanging="342"/>
              <w:jc w:val="both"/>
              <w:rPr>
                <w:rFonts w:ascii="Verdana" w:hAnsi="Verdana"/>
                <w:sz w:val="24"/>
                <w:szCs w:val="24"/>
              </w:rPr>
            </w:pPr>
            <w:r w:rsidRPr="00E67E7E">
              <w:rPr>
                <w:rFonts w:ascii="Verdana" w:hAnsi="Verdana"/>
                <w:sz w:val="24"/>
                <w:szCs w:val="24"/>
              </w:rPr>
              <w:t>There have been no major non-</w:t>
            </w:r>
            <w:r w:rsidRPr="00856654">
              <w:rPr>
                <w:rFonts w:ascii="Verdana" w:eastAsiaTheme="minorHAnsi" w:hAnsi="Verdana"/>
                <w:sz w:val="24"/>
                <w:szCs w:val="24"/>
              </w:rPr>
              <w:t>compliances</w:t>
            </w:r>
            <w:r w:rsidRPr="00E67E7E">
              <w:rPr>
                <w:rFonts w:ascii="Verdana" w:hAnsi="Verdana"/>
                <w:sz w:val="24"/>
                <w:szCs w:val="24"/>
              </w:rPr>
              <w:t xml:space="preserve"> </w:t>
            </w:r>
            <w:r w:rsidR="00BD46B9">
              <w:rPr>
                <w:rFonts w:ascii="Verdana" w:hAnsi="Verdana"/>
                <w:sz w:val="24"/>
                <w:szCs w:val="24"/>
              </w:rPr>
              <w:t>noted in the past.</w:t>
            </w:r>
          </w:p>
          <w:p w14:paraId="3EB94D54" w14:textId="54BBA52B" w:rsidR="00383334" w:rsidRPr="00E67E7E" w:rsidRDefault="00383334" w:rsidP="00856654">
            <w:pPr>
              <w:pStyle w:val="ListParagraph"/>
              <w:numPr>
                <w:ilvl w:val="0"/>
                <w:numId w:val="25"/>
              </w:numPr>
              <w:tabs>
                <w:tab w:val="left" w:pos="1440"/>
                <w:tab w:val="left" w:pos="2970"/>
                <w:tab w:val="left" w:pos="8910"/>
                <w:tab w:val="left" w:pos="10530"/>
                <w:tab w:val="left" w:pos="12240"/>
                <w:tab w:val="left" w:pos="19800"/>
                <w:tab w:val="left" w:pos="20700"/>
              </w:tabs>
              <w:spacing w:before="60" w:after="60"/>
              <w:ind w:left="342" w:right="30" w:hanging="342"/>
              <w:jc w:val="both"/>
              <w:rPr>
                <w:rFonts w:ascii="Verdana" w:hAnsi="Verdana"/>
                <w:sz w:val="24"/>
                <w:szCs w:val="24"/>
              </w:rPr>
            </w:pPr>
            <w:r w:rsidRPr="00E67E7E">
              <w:rPr>
                <w:rFonts w:ascii="Verdana" w:hAnsi="Verdana"/>
                <w:sz w:val="24"/>
                <w:szCs w:val="24"/>
              </w:rPr>
              <w:t xml:space="preserve">In the previous year, no </w:t>
            </w:r>
            <w:r w:rsidRPr="00856654">
              <w:rPr>
                <w:rFonts w:ascii="Verdana" w:eastAsiaTheme="minorHAnsi" w:hAnsi="Verdana"/>
                <w:sz w:val="24"/>
                <w:szCs w:val="24"/>
              </w:rPr>
              <w:t>significant</w:t>
            </w:r>
            <w:r w:rsidRPr="00E67E7E">
              <w:rPr>
                <w:rFonts w:ascii="Verdana" w:hAnsi="Verdana"/>
                <w:sz w:val="24"/>
                <w:szCs w:val="24"/>
              </w:rPr>
              <w:t xml:space="preserve"> material weakness or significant deficiencies </w:t>
            </w:r>
            <w:r w:rsidR="00102BDD" w:rsidRPr="00E67E7E">
              <w:rPr>
                <w:rFonts w:ascii="Verdana" w:hAnsi="Verdana"/>
                <w:sz w:val="24"/>
                <w:szCs w:val="24"/>
              </w:rPr>
              <w:t xml:space="preserve">were </w:t>
            </w:r>
            <w:r w:rsidRPr="00E67E7E">
              <w:rPr>
                <w:rFonts w:ascii="Verdana" w:hAnsi="Verdana"/>
                <w:sz w:val="24"/>
                <w:szCs w:val="24"/>
              </w:rPr>
              <w:t>noted by the previous auditor.</w:t>
            </w:r>
          </w:p>
          <w:p w14:paraId="3AECB29E" w14:textId="115963A0" w:rsidR="00383334" w:rsidRPr="00101EBA" w:rsidRDefault="00383334" w:rsidP="00BD46B9">
            <w:pPr>
              <w:pStyle w:val="ListParagraph"/>
              <w:numPr>
                <w:ilvl w:val="0"/>
                <w:numId w:val="25"/>
              </w:numPr>
              <w:tabs>
                <w:tab w:val="left" w:pos="1440"/>
                <w:tab w:val="left" w:pos="2970"/>
                <w:tab w:val="left" w:pos="8910"/>
                <w:tab w:val="left" w:pos="10530"/>
                <w:tab w:val="left" w:pos="12240"/>
                <w:tab w:val="left" w:pos="19800"/>
                <w:tab w:val="left" w:pos="20700"/>
              </w:tabs>
              <w:spacing w:before="60" w:after="60"/>
              <w:ind w:left="342" w:right="30" w:hanging="342"/>
              <w:jc w:val="both"/>
              <w:rPr>
                <w:rFonts w:ascii="Verdana" w:hAnsi="Verdana"/>
                <w:sz w:val="24"/>
                <w:szCs w:val="24"/>
              </w:rPr>
            </w:pPr>
            <w:r w:rsidRPr="00E67E7E">
              <w:rPr>
                <w:rFonts w:ascii="Verdana" w:hAnsi="Verdana"/>
                <w:sz w:val="24"/>
                <w:szCs w:val="24"/>
              </w:rPr>
              <w:lastRenderedPageBreak/>
              <w:t xml:space="preserve">There </w:t>
            </w:r>
            <w:r w:rsidRPr="00856654">
              <w:rPr>
                <w:rFonts w:ascii="Verdana" w:eastAsiaTheme="minorHAnsi" w:hAnsi="Verdana"/>
                <w:sz w:val="24"/>
                <w:szCs w:val="24"/>
              </w:rPr>
              <w:t>have</w:t>
            </w:r>
            <w:r w:rsidRPr="00E67E7E">
              <w:rPr>
                <w:rFonts w:ascii="Verdana" w:hAnsi="Verdana"/>
                <w:sz w:val="24"/>
                <w:szCs w:val="24"/>
              </w:rPr>
              <w:t xml:space="preserve"> been no material penalties levied by </w:t>
            </w:r>
            <w:r w:rsidR="00BD46B9">
              <w:rPr>
                <w:rFonts w:ascii="Verdana" w:hAnsi="Verdana"/>
                <w:sz w:val="24"/>
                <w:szCs w:val="24"/>
              </w:rPr>
              <w:t xml:space="preserve">regulators </w:t>
            </w:r>
            <w:r w:rsidRPr="00E67E7E">
              <w:rPr>
                <w:rFonts w:ascii="Verdana" w:hAnsi="Verdana"/>
                <w:sz w:val="24"/>
                <w:szCs w:val="24"/>
              </w:rPr>
              <w:t xml:space="preserve">for any non-compliances. </w:t>
            </w:r>
          </w:p>
        </w:tc>
      </w:tr>
    </w:tbl>
    <w:p w14:paraId="351C9D88" w14:textId="77777777" w:rsidR="00223722" w:rsidRPr="00E67E7E" w:rsidRDefault="00223722" w:rsidP="00123DA3">
      <w:pPr>
        <w:jc w:val="both"/>
        <w:rPr>
          <w:rFonts w:ascii="Verdana" w:hAnsi="Verdana"/>
        </w:rPr>
      </w:pPr>
    </w:p>
    <w:p w14:paraId="58E6B21B" w14:textId="19CCB873" w:rsidR="00EC02C8" w:rsidRPr="00E67E7E" w:rsidRDefault="00EC02C8" w:rsidP="00123DA3">
      <w:pPr>
        <w:jc w:val="both"/>
        <w:rPr>
          <w:rFonts w:ascii="Verdana" w:hAnsi="Verdana"/>
          <w:b/>
          <w:u w:val="single"/>
        </w:rPr>
      </w:pPr>
      <w:r w:rsidRPr="00E67E7E">
        <w:rPr>
          <w:rFonts w:ascii="Verdana" w:hAnsi="Verdana"/>
          <w:b/>
          <w:u w:val="single"/>
        </w:rPr>
        <w:t xml:space="preserve">Assessing engagement risk of </w:t>
      </w:r>
      <w:r w:rsidR="006B4FDE">
        <w:rPr>
          <w:rFonts w:ascii="Verdana" w:hAnsi="Verdana"/>
          <w:b/>
          <w:u w:val="single"/>
        </w:rPr>
        <w:t>CIPL</w:t>
      </w:r>
      <w:r w:rsidRPr="00E67E7E">
        <w:rPr>
          <w:rFonts w:ascii="Verdana" w:hAnsi="Verdana"/>
          <w:b/>
          <w:u w:val="single"/>
        </w:rPr>
        <w:t>:</w:t>
      </w:r>
    </w:p>
    <w:p w14:paraId="254B8AA1" w14:textId="77777777" w:rsidR="00383334" w:rsidRPr="00E67E7E" w:rsidRDefault="00383334" w:rsidP="00123DA3">
      <w:pPr>
        <w:jc w:val="both"/>
        <w:rPr>
          <w:rFonts w:ascii="Verdana" w:hAnsi="Verdana"/>
        </w:rPr>
      </w:pPr>
    </w:p>
    <w:p w14:paraId="5E120DA4" w14:textId="7C641446" w:rsidR="00EC02C8" w:rsidRPr="00885191" w:rsidRDefault="00EC02C8" w:rsidP="00123DA3">
      <w:pPr>
        <w:jc w:val="both"/>
        <w:rPr>
          <w:rFonts w:ascii="Verdana" w:hAnsi="Verdana"/>
          <w:b/>
        </w:rPr>
      </w:pPr>
      <w:r w:rsidRPr="00E67E7E">
        <w:rPr>
          <w:rFonts w:ascii="Verdana" w:hAnsi="Verdana"/>
        </w:rPr>
        <w:t xml:space="preserve">Considering the factors discussed </w:t>
      </w:r>
      <w:r w:rsidR="001C4F2E">
        <w:rPr>
          <w:rFonts w:ascii="Verdana" w:hAnsi="Verdana"/>
        </w:rPr>
        <w:t xml:space="preserve">above, </w:t>
      </w:r>
      <w:r w:rsidRPr="00885191">
        <w:rPr>
          <w:rFonts w:ascii="Verdana" w:hAnsi="Verdana"/>
        </w:rPr>
        <w:t xml:space="preserve">engagement risk has been classified as </w:t>
      </w:r>
      <w:r w:rsidR="00BB23D4" w:rsidRPr="00885191">
        <w:rPr>
          <w:rFonts w:ascii="Verdana" w:hAnsi="Verdana"/>
          <w:b/>
        </w:rPr>
        <w:t>‘</w:t>
      </w:r>
      <w:r w:rsidRPr="00885191">
        <w:rPr>
          <w:rFonts w:ascii="Verdana" w:hAnsi="Verdana"/>
          <w:b/>
        </w:rPr>
        <w:t>Normal”.</w:t>
      </w:r>
    </w:p>
    <w:p w14:paraId="75A22D88" w14:textId="77777777" w:rsidR="00EC02C8" w:rsidRPr="00885191" w:rsidRDefault="00EC02C8" w:rsidP="00123DA3">
      <w:pPr>
        <w:jc w:val="both"/>
        <w:rPr>
          <w:rFonts w:ascii="Verdana" w:hAnsi="Verdana"/>
          <w:b/>
        </w:rPr>
      </w:pPr>
    </w:p>
    <w:p w14:paraId="15780194" w14:textId="43D35B06" w:rsidR="00EC02C8" w:rsidRPr="001C4F2E" w:rsidRDefault="00885191" w:rsidP="00123DA3">
      <w:pPr>
        <w:jc w:val="both"/>
        <w:rPr>
          <w:rFonts w:ascii="Verdana" w:hAnsi="Verdana"/>
          <w:b/>
          <w:u w:val="single"/>
        </w:rPr>
      </w:pPr>
      <w:r>
        <w:rPr>
          <w:rFonts w:ascii="Verdana" w:hAnsi="Verdana"/>
        </w:rPr>
        <w:t>As well</w:t>
      </w:r>
      <w:r w:rsidR="00151DB2" w:rsidRPr="00E67E7E">
        <w:rPr>
          <w:rFonts w:ascii="Verdana" w:hAnsi="Verdana"/>
        </w:rPr>
        <w:t>,</w:t>
      </w:r>
      <w:r w:rsidR="00EC02C8" w:rsidRPr="00E67E7E">
        <w:rPr>
          <w:rFonts w:ascii="Verdana" w:hAnsi="Verdana"/>
        </w:rPr>
        <w:t xml:space="preserve"> the client risk has been concluded as</w:t>
      </w:r>
      <w:r w:rsidR="00EC02C8" w:rsidRPr="00E67E7E">
        <w:rPr>
          <w:rFonts w:ascii="Verdana" w:hAnsi="Verdana"/>
          <w:b/>
        </w:rPr>
        <w:t xml:space="preserve"> </w:t>
      </w:r>
      <w:r w:rsidR="00EC02C8" w:rsidRPr="001C4F2E">
        <w:rPr>
          <w:rFonts w:ascii="Verdana" w:hAnsi="Verdana"/>
          <w:b/>
        </w:rPr>
        <w:t>“Normal”</w:t>
      </w:r>
      <w:r w:rsidR="00151DB2" w:rsidRPr="001C4F2E">
        <w:rPr>
          <w:rFonts w:ascii="Verdana" w:hAnsi="Verdana"/>
          <w:b/>
        </w:rPr>
        <w:t>.</w:t>
      </w:r>
    </w:p>
    <w:p w14:paraId="13480E75" w14:textId="432A855F" w:rsidR="00132F94" w:rsidRDefault="00132F94" w:rsidP="00123DA3">
      <w:pPr>
        <w:jc w:val="both"/>
        <w:rPr>
          <w:rFonts w:ascii="Verdana" w:hAnsi="Verdana"/>
        </w:rPr>
      </w:pPr>
    </w:p>
    <w:p w14:paraId="73BDE20D" w14:textId="77777777" w:rsidR="001C4F2E" w:rsidRDefault="00714550" w:rsidP="00123DA3">
      <w:pPr>
        <w:jc w:val="both"/>
        <w:rPr>
          <w:rFonts w:ascii="Verdana" w:hAnsi="Verdana"/>
          <w:b/>
        </w:rPr>
      </w:pPr>
      <w:r w:rsidRPr="00973C9F">
        <w:rPr>
          <w:rFonts w:ascii="Verdana" w:hAnsi="Verdana"/>
          <w:b/>
        </w:rPr>
        <w:t>Basis of conclusion of our assessment as Client Risk is Normal Risk:</w:t>
      </w:r>
    </w:p>
    <w:p w14:paraId="514B6D0B" w14:textId="4732679E" w:rsidR="00714550" w:rsidRDefault="00714550" w:rsidP="00123DA3">
      <w:pPr>
        <w:jc w:val="both"/>
        <w:rPr>
          <w:rFonts w:ascii="Verdana" w:hAnsi="Verdana"/>
          <w:b/>
        </w:rPr>
      </w:pPr>
      <w:r w:rsidRPr="00973C9F">
        <w:rPr>
          <w:rFonts w:ascii="Verdana" w:hAnsi="Verdana"/>
          <w:b/>
        </w:rPr>
        <w:t xml:space="preserve"> </w:t>
      </w:r>
    </w:p>
    <w:p w14:paraId="3B9E3C24" w14:textId="2AC87476" w:rsidR="00714550" w:rsidRPr="00157D75" w:rsidRDefault="001C4F2E" w:rsidP="00157D75">
      <w:pPr>
        <w:jc w:val="both"/>
        <w:rPr>
          <w:rFonts w:ascii="Verdana" w:hAnsi="Verdana"/>
        </w:rPr>
      </w:pPr>
      <w:bookmarkStart w:id="0" w:name="_Hlk95380775"/>
      <w:r w:rsidRPr="00157D75">
        <w:rPr>
          <w:rFonts w:ascii="Verdana" w:hAnsi="Verdana"/>
        </w:rPr>
        <w:t>W</w:t>
      </w:r>
      <w:r w:rsidR="00902DFC" w:rsidRPr="00157D75">
        <w:rPr>
          <w:rFonts w:ascii="Verdana" w:hAnsi="Verdana"/>
        </w:rPr>
        <w:t xml:space="preserve">e </w:t>
      </w:r>
      <w:r w:rsidR="00A16583" w:rsidRPr="00157D75">
        <w:rPr>
          <w:rFonts w:ascii="Verdana" w:hAnsi="Verdana"/>
        </w:rPr>
        <w:t xml:space="preserve">noted </w:t>
      </w:r>
      <w:r w:rsidR="000F3948" w:rsidRPr="00157D75">
        <w:rPr>
          <w:rFonts w:ascii="Verdana" w:hAnsi="Verdana"/>
        </w:rPr>
        <w:t xml:space="preserve">that no </w:t>
      </w:r>
      <w:r w:rsidR="00902DFC" w:rsidRPr="00157D75">
        <w:rPr>
          <w:rFonts w:ascii="Verdana" w:hAnsi="Verdana"/>
        </w:rPr>
        <w:t xml:space="preserve">major findings </w:t>
      </w:r>
      <w:r w:rsidR="000F3948" w:rsidRPr="00157D75">
        <w:rPr>
          <w:rFonts w:ascii="Verdana" w:hAnsi="Verdana"/>
        </w:rPr>
        <w:t xml:space="preserve">were </w:t>
      </w:r>
      <w:r w:rsidR="00902DFC" w:rsidRPr="00157D75">
        <w:rPr>
          <w:rFonts w:ascii="Verdana" w:hAnsi="Verdana"/>
        </w:rPr>
        <w:t xml:space="preserve">available </w:t>
      </w:r>
      <w:r w:rsidR="00C11346" w:rsidRPr="00157D75">
        <w:rPr>
          <w:rFonts w:ascii="Verdana" w:hAnsi="Verdana"/>
        </w:rPr>
        <w:t>and hence, no Management</w:t>
      </w:r>
      <w:r w:rsidR="00902DFC" w:rsidRPr="00157D75">
        <w:rPr>
          <w:rFonts w:ascii="Verdana" w:hAnsi="Verdana"/>
        </w:rPr>
        <w:t xml:space="preserve"> Letter </w:t>
      </w:r>
      <w:r w:rsidR="00C11346" w:rsidRPr="00157D75">
        <w:rPr>
          <w:rFonts w:ascii="Verdana" w:hAnsi="Verdana"/>
        </w:rPr>
        <w:t xml:space="preserve">was </w:t>
      </w:r>
      <w:r w:rsidR="00902DFC" w:rsidRPr="00157D75">
        <w:rPr>
          <w:rFonts w:ascii="Verdana" w:hAnsi="Verdana"/>
        </w:rPr>
        <w:t>issued by the last year’s auditor.</w:t>
      </w:r>
    </w:p>
    <w:bookmarkEnd w:id="0"/>
    <w:p w14:paraId="4D0611F5" w14:textId="7CEBAF3B" w:rsidR="00902DFC" w:rsidRPr="00747C0B" w:rsidRDefault="00902DFC" w:rsidP="00747C0B">
      <w:pPr>
        <w:jc w:val="both"/>
        <w:rPr>
          <w:rFonts w:ascii="Verdana" w:hAnsi="Verdana"/>
        </w:rPr>
      </w:pPr>
    </w:p>
    <w:p w14:paraId="1F8C6630" w14:textId="429D54E4" w:rsidR="00CF655B" w:rsidRPr="00157D75" w:rsidRDefault="00902DFC" w:rsidP="00157D75">
      <w:pPr>
        <w:jc w:val="both"/>
        <w:rPr>
          <w:rFonts w:ascii="Verdana" w:hAnsi="Verdana"/>
          <w:b/>
        </w:rPr>
      </w:pPr>
      <w:r w:rsidRPr="00157D75">
        <w:rPr>
          <w:rFonts w:ascii="Verdana" w:hAnsi="Verdana"/>
        </w:rPr>
        <w:t xml:space="preserve">Considering the above, we </w:t>
      </w:r>
      <w:r w:rsidR="00BB7B1B" w:rsidRPr="00157D75">
        <w:rPr>
          <w:rFonts w:ascii="Verdana" w:hAnsi="Verdana"/>
        </w:rPr>
        <w:t xml:space="preserve">can </w:t>
      </w:r>
      <w:r w:rsidRPr="00157D75">
        <w:rPr>
          <w:rFonts w:ascii="Verdana" w:hAnsi="Verdana"/>
        </w:rPr>
        <w:t xml:space="preserve">conclude that the client risk on the </w:t>
      </w:r>
      <w:r w:rsidR="00BD46B9" w:rsidRPr="00157D75">
        <w:rPr>
          <w:rFonts w:ascii="Verdana" w:hAnsi="Verdana"/>
        </w:rPr>
        <w:t xml:space="preserve">statutory audit of the </w:t>
      </w:r>
      <w:r w:rsidR="006B4FDE" w:rsidRPr="00157D75">
        <w:rPr>
          <w:rFonts w:ascii="Verdana" w:hAnsi="Verdana"/>
        </w:rPr>
        <w:t>CIPL</w:t>
      </w:r>
      <w:r w:rsidR="00BD46B9" w:rsidRPr="00157D75">
        <w:rPr>
          <w:rFonts w:ascii="Verdana" w:hAnsi="Verdana"/>
        </w:rPr>
        <w:t xml:space="preserve"> </w:t>
      </w:r>
      <w:r w:rsidR="004239BE" w:rsidRPr="00157D75">
        <w:rPr>
          <w:rFonts w:ascii="Verdana" w:hAnsi="Verdana"/>
        </w:rPr>
        <w:t xml:space="preserve">for the </w:t>
      </w:r>
      <w:r w:rsidR="00BD46B9" w:rsidRPr="00157D75">
        <w:rPr>
          <w:rFonts w:ascii="Verdana" w:hAnsi="Verdana"/>
        </w:rPr>
        <w:t>yea</w:t>
      </w:r>
      <w:r w:rsidR="00885191" w:rsidRPr="00157D75">
        <w:rPr>
          <w:rFonts w:ascii="Verdana" w:hAnsi="Verdana"/>
        </w:rPr>
        <w:t>r</w:t>
      </w:r>
      <w:r w:rsidR="004239BE" w:rsidRPr="00157D75">
        <w:rPr>
          <w:rFonts w:ascii="Verdana" w:hAnsi="Verdana"/>
        </w:rPr>
        <w:t xml:space="preserve"> from 01 </w:t>
      </w:r>
      <w:r w:rsidR="00BD46B9" w:rsidRPr="00157D75">
        <w:rPr>
          <w:rFonts w:ascii="Verdana" w:hAnsi="Verdana"/>
        </w:rPr>
        <w:t>July 20</w:t>
      </w:r>
      <w:r w:rsidR="00331E3D" w:rsidRPr="00157D75">
        <w:rPr>
          <w:rFonts w:ascii="Verdana" w:hAnsi="Verdana"/>
        </w:rPr>
        <w:t>2</w:t>
      </w:r>
      <w:r w:rsidR="00885191" w:rsidRPr="00157D75">
        <w:rPr>
          <w:rFonts w:ascii="Verdana" w:hAnsi="Verdana"/>
        </w:rPr>
        <w:t>1</w:t>
      </w:r>
      <w:r w:rsidR="00BD46B9" w:rsidRPr="00157D75">
        <w:rPr>
          <w:rFonts w:ascii="Verdana" w:hAnsi="Verdana"/>
        </w:rPr>
        <w:t xml:space="preserve"> to 30 June 202</w:t>
      </w:r>
      <w:r w:rsidR="00885191" w:rsidRPr="00157D75">
        <w:rPr>
          <w:rFonts w:ascii="Verdana" w:hAnsi="Verdana"/>
        </w:rPr>
        <w:t>2</w:t>
      </w:r>
      <w:r w:rsidR="004239BE" w:rsidRPr="00157D75">
        <w:rPr>
          <w:rFonts w:ascii="Verdana" w:hAnsi="Verdana"/>
        </w:rPr>
        <w:t xml:space="preserve"> </w:t>
      </w:r>
      <w:r w:rsidRPr="00157D75">
        <w:rPr>
          <w:rFonts w:ascii="Verdana" w:hAnsi="Verdana"/>
        </w:rPr>
        <w:t xml:space="preserve">is </w:t>
      </w:r>
      <w:r w:rsidRPr="00157D75">
        <w:rPr>
          <w:rFonts w:ascii="Verdana" w:hAnsi="Verdana"/>
          <w:b/>
        </w:rPr>
        <w:t>Normal.</w:t>
      </w:r>
    </w:p>
    <w:p w14:paraId="1A6C15A2" w14:textId="77777777" w:rsidR="00CF655B" w:rsidRDefault="00CF655B" w:rsidP="00CF655B">
      <w:pPr>
        <w:jc w:val="both"/>
        <w:rPr>
          <w:rFonts w:ascii="Verdana" w:hAnsi="Verdana"/>
          <w:b/>
          <w:u w:val="single"/>
        </w:rPr>
      </w:pPr>
    </w:p>
    <w:p w14:paraId="3F86A8F7" w14:textId="77777777" w:rsidR="00CF655B" w:rsidRDefault="00CF655B" w:rsidP="00D36ED2">
      <w:pPr>
        <w:jc w:val="both"/>
        <w:rPr>
          <w:rFonts w:ascii="Verdana" w:hAnsi="Verdana"/>
          <w:b/>
          <w:u w:val="single"/>
        </w:rPr>
      </w:pPr>
      <w:r w:rsidRPr="00F16969">
        <w:rPr>
          <w:rFonts w:ascii="Verdana" w:hAnsi="Verdana"/>
          <w:b/>
          <w:u w:val="single"/>
        </w:rPr>
        <w:t>Risk Management Action Plan</w:t>
      </w:r>
    </w:p>
    <w:p w14:paraId="2C0CDFA7" w14:textId="77777777" w:rsidR="00CF655B" w:rsidRDefault="00CF655B" w:rsidP="00CF655B">
      <w:pPr>
        <w:ind w:firstLine="720"/>
        <w:jc w:val="both"/>
        <w:rPr>
          <w:rFonts w:ascii="Verdana" w:hAnsi="Verdana"/>
          <w:b/>
          <w:u w:val="single"/>
        </w:rPr>
      </w:pPr>
    </w:p>
    <w:p w14:paraId="04ECCDEE" w14:textId="5E6A786C" w:rsidR="00CF655B" w:rsidRPr="0066477D" w:rsidRDefault="00CF655B" w:rsidP="00D36ED2">
      <w:pPr>
        <w:jc w:val="both"/>
        <w:rPr>
          <w:rFonts w:ascii="Verdana" w:hAnsi="Verdana"/>
        </w:rPr>
      </w:pPr>
      <w:r>
        <w:rPr>
          <w:rFonts w:ascii="Verdana" w:hAnsi="Verdana"/>
        </w:rPr>
        <w:t>This is</w:t>
      </w:r>
      <w:r w:rsidRPr="0066477D">
        <w:rPr>
          <w:rFonts w:ascii="Verdana" w:hAnsi="Verdana"/>
        </w:rPr>
        <w:t xml:space="preserve"> our </w:t>
      </w:r>
      <w:r>
        <w:rPr>
          <w:rFonts w:ascii="Verdana" w:hAnsi="Verdana"/>
        </w:rPr>
        <w:t>third</w:t>
      </w:r>
      <w:r w:rsidRPr="0066477D">
        <w:rPr>
          <w:rFonts w:ascii="Verdana" w:hAnsi="Verdana"/>
        </w:rPr>
        <w:t xml:space="preserve"> year of audit and considering the </w:t>
      </w:r>
      <w:r>
        <w:rPr>
          <w:rFonts w:ascii="Verdana" w:hAnsi="Verdana"/>
        </w:rPr>
        <w:t>i</w:t>
      </w:r>
      <w:r w:rsidRPr="0066477D">
        <w:rPr>
          <w:rFonts w:ascii="Verdana" w:hAnsi="Verdana"/>
        </w:rPr>
        <w:t xml:space="preserve">nherent risk of </w:t>
      </w:r>
      <w:r>
        <w:rPr>
          <w:rFonts w:ascii="Verdana" w:hAnsi="Verdana"/>
        </w:rPr>
        <w:t xml:space="preserve">ready-made garments </w:t>
      </w:r>
      <w:r w:rsidRPr="0066477D">
        <w:rPr>
          <w:rFonts w:ascii="Verdana" w:hAnsi="Verdana"/>
        </w:rPr>
        <w:t>sector</w:t>
      </w:r>
      <w:r>
        <w:rPr>
          <w:rFonts w:ascii="Verdana" w:hAnsi="Verdana"/>
        </w:rPr>
        <w:t xml:space="preserve"> in Bangladesh</w:t>
      </w:r>
      <w:r w:rsidRPr="0066477D">
        <w:rPr>
          <w:rFonts w:ascii="Verdana" w:hAnsi="Verdana"/>
        </w:rPr>
        <w:t>,</w:t>
      </w:r>
      <w:r>
        <w:rPr>
          <w:rFonts w:ascii="Verdana" w:hAnsi="Verdana"/>
        </w:rPr>
        <w:t xml:space="preserve"> f</w:t>
      </w:r>
      <w:r w:rsidRPr="00E67E7E">
        <w:rPr>
          <w:rFonts w:ascii="Verdana" w:hAnsi="Verdana"/>
        </w:rPr>
        <w:t>ollowing risk management action plan has been prepared for the purpose of audit.</w:t>
      </w:r>
    </w:p>
    <w:p w14:paraId="0BA4E926" w14:textId="77777777" w:rsidR="00CF655B" w:rsidRPr="00E67E7E" w:rsidRDefault="00CF655B" w:rsidP="00CF655B">
      <w:pPr>
        <w:tabs>
          <w:tab w:val="left" w:pos="630"/>
          <w:tab w:val="left" w:pos="900"/>
        </w:tabs>
        <w:jc w:val="both"/>
        <w:rPr>
          <w:rFonts w:ascii="Verdana" w:hAnsi="Verdana"/>
        </w:rPr>
      </w:pPr>
    </w:p>
    <w:p w14:paraId="06241BC7" w14:textId="77777777" w:rsidR="00D36ED2" w:rsidRPr="00D36ED2" w:rsidRDefault="00CF655B" w:rsidP="00D36ED2">
      <w:pPr>
        <w:pStyle w:val="ListParagraph"/>
        <w:numPr>
          <w:ilvl w:val="0"/>
          <w:numId w:val="11"/>
        </w:numPr>
        <w:tabs>
          <w:tab w:val="left" w:pos="900"/>
        </w:tabs>
        <w:ind w:left="360" w:firstLine="180"/>
        <w:jc w:val="both"/>
        <w:rPr>
          <w:rFonts w:ascii="Verdana" w:hAnsi="Verdana"/>
          <w:sz w:val="24"/>
          <w:szCs w:val="24"/>
        </w:rPr>
      </w:pPr>
      <w:r w:rsidRPr="00D36ED2">
        <w:rPr>
          <w:rFonts w:ascii="Verdana" w:hAnsi="Verdana"/>
          <w:sz w:val="24"/>
          <w:szCs w:val="24"/>
        </w:rPr>
        <w:t>Significant involvement of Partner at every step of audit.</w:t>
      </w:r>
    </w:p>
    <w:p w14:paraId="0CA52FF2" w14:textId="77777777" w:rsidR="00D36ED2" w:rsidRPr="00D36ED2" w:rsidRDefault="00CF655B" w:rsidP="00D36ED2">
      <w:pPr>
        <w:pStyle w:val="ListParagraph"/>
        <w:numPr>
          <w:ilvl w:val="0"/>
          <w:numId w:val="11"/>
        </w:numPr>
        <w:tabs>
          <w:tab w:val="left" w:pos="900"/>
        </w:tabs>
        <w:ind w:left="900"/>
        <w:jc w:val="both"/>
        <w:rPr>
          <w:rFonts w:ascii="Verdana" w:hAnsi="Verdana"/>
          <w:sz w:val="24"/>
          <w:szCs w:val="24"/>
        </w:rPr>
      </w:pPr>
      <w:r w:rsidRPr="00D36ED2">
        <w:rPr>
          <w:rFonts w:ascii="Verdana" w:hAnsi="Verdana"/>
          <w:sz w:val="24"/>
          <w:szCs w:val="24"/>
        </w:rPr>
        <w:t>Enhanced level of professional skepticism and questioning mind set throughout the engagement at all levels.</w:t>
      </w:r>
    </w:p>
    <w:p w14:paraId="47C49D44" w14:textId="77777777" w:rsidR="00D36ED2" w:rsidRPr="00D36ED2" w:rsidRDefault="00CF655B" w:rsidP="00D36ED2">
      <w:pPr>
        <w:pStyle w:val="ListParagraph"/>
        <w:numPr>
          <w:ilvl w:val="0"/>
          <w:numId w:val="11"/>
        </w:numPr>
        <w:tabs>
          <w:tab w:val="left" w:pos="900"/>
        </w:tabs>
        <w:ind w:left="900"/>
        <w:jc w:val="both"/>
        <w:rPr>
          <w:rFonts w:ascii="Verdana" w:hAnsi="Verdana"/>
          <w:sz w:val="24"/>
          <w:szCs w:val="24"/>
        </w:rPr>
      </w:pPr>
      <w:r w:rsidRPr="00D36ED2">
        <w:rPr>
          <w:rFonts w:ascii="Verdana" w:hAnsi="Verdana"/>
          <w:sz w:val="24"/>
          <w:szCs w:val="24"/>
        </w:rPr>
        <w:t xml:space="preserve">EQCR Partner will be involved at an early stage of audit, and engagement team will ensure EQCR involvement in all significant engagement matters and issues. We arrange periodic meeting with the EQCR at different stages of the engagement. </w:t>
      </w:r>
    </w:p>
    <w:p w14:paraId="5C36C3B2" w14:textId="77777777" w:rsidR="00D36ED2" w:rsidRPr="00D36ED2" w:rsidRDefault="00CF655B" w:rsidP="00D36ED2">
      <w:pPr>
        <w:pStyle w:val="ListParagraph"/>
        <w:numPr>
          <w:ilvl w:val="0"/>
          <w:numId w:val="11"/>
        </w:numPr>
        <w:tabs>
          <w:tab w:val="left" w:pos="900"/>
        </w:tabs>
        <w:ind w:left="900"/>
        <w:jc w:val="both"/>
        <w:rPr>
          <w:rFonts w:ascii="Verdana" w:hAnsi="Verdana"/>
          <w:sz w:val="24"/>
          <w:szCs w:val="24"/>
        </w:rPr>
      </w:pPr>
      <w:r w:rsidRPr="00D36ED2">
        <w:rPr>
          <w:rFonts w:ascii="Verdana" w:hAnsi="Verdana"/>
          <w:sz w:val="24"/>
          <w:szCs w:val="24"/>
        </w:rPr>
        <w:t xml:space="preserve">Detailed review of IFRS and Company Act 1994 and other applicable laws and regulations. </w:t>
      </w:r>
    </w:p>
    <w:p w14:paraId="5CCF8EBA" w14:textId="77777777" w:rsidR="00D36ED2" w:rsidRPr="00D36ED2" w:rsidRDefault="00CF655B" w:rsidP="00D36ED2">
      <w:pPr>
        <w:pStyle w:val="ListParagraph"/>
        <w:numPr>
          <w:ilvl w:val="0"/>
          <w:numId w:val="11"/>
        </w:numPr>
        <w:tabs>
          <w:tab w:val="left" w:pos="900"/>
        </w:tabs>
        <w:ind w:left="900"/>
        <w:jc w:val="both"/>
        <w:rPr>
          <w:rFonts w:ascii="Verdana" w:hAnsi="Verdana"/>
          <w:sz w:val="24"/>
          <w:szCs w:val="24"/>
        </w:rPr>
      </w:pPr>
      <w:r w:rsidRPr="00D36ED2">
        <w:rPr>
          <w:rFonts w:ascii="Verdana" w:hAnsi="Verdana"/>
          <w:sz w:val="24"/>
          <w:szCs w:val="24"/>
        </w:rPr>
        <w:t>Focused review of Entity level controls and internal control environment to address individual risks.</w:t>
      </w:r>
    </w:p>
    <w:p w14:paraId="28F4921D" w14:textId="77777777" w:rsidR="00D36ED2" w:rsidRPr="00D36ED2" w:rsidRDefault="00CF655B" w:rsidP="00D36ED2">
      <w:pPr>
        <w:pStyle w:val="ListParagraph"/>
        <w:numPr>
          <w:ilvl w:val="0"/>
          <w:numId w:val="11"/>
        </w:numPr>
        <w:tabs>
          <w:tab w:val="left" w:pos="900"/>
        </w:tabs>
        <w:ind w:left="900"/>
        <w:jc w:val="both"/>
        <w:rPr>
          <w:rFonts w:ascii="Verdana" w:hAnsi="Verdana"/>
          <w:sz w:val="24"/>
          <w:szCs w:val="24"/>
        </w:rPr>
      </w:pPr>
      <w:r w:rsidRPr="00D36ED2">
        <w:rPr>
          <w:rFonts w:ascii="Verdana" w:hAnsi="Verdana"/>
          <w:sz w:val="24"/>
          <w:szCs w:val="24"/>
        </w:rPr>
        <w:t xml:space="preserve">Risk assessment process to consider the Industry specific risk. </w:t>
      </w:r>
    </w:p>
    <w:p w14:paraId="1D340238" w14:textId="77777777" w:rsidR="00D36ED2" w:rsidRPr="00D36ED2" w:rsidRDefault="00CF655B" w:rsidP="00D36ED2">
      <w:pPr>
        <w:pStyle w:val="ListParagraph"/>
        <w:numPr>
          <w:ilvl w:val="0"/>
          <w:numId w:val="11"/>
        </w:numPr>
        <w:tabs>
          <w:tab w:val="left" w:pos="900"/>
        </w:tabs>
        <w:ind w:left="900"/>
        <w:jc w:val="both"/>
        <w:rPr>
          <w:rFonts w:ascii="Verdana" w:hAnsi="Verdana"/>
          <w:sz w:val="24"/>
          <w:szCs w:val="24"/>
        </w:rPr>
      </w:pPr>
      <w:r w:rsidRPr="00D36ED2">
        <w:rPr>
          <w:rFonts w:ascii="Verdana" w:hAnsi="Verdana"/>
          <w:sz w:val="24"/>
          <w:szCs w:val="24"/>
        </w:rPr>
        <w:t xml:space="preserve">Regular and meaningful conversations with the client personnel – not restricted to the accounts team. </w:t>
      </w:r>
    </w:p>
    <w:p w14:paraId="6BE71B73" w14:textId="5EDB46B2" w:rsidR="00CF655B" w:rsidRPr="00D36ED2" w:rsidRDefault="00CF655B" w:rsidP="00D36ED2">
      <w:pPr>
        <w:pStyle w:val="ListParagraph"/>
        <w:numPr>
          <w:ilvl w:val="0"/>
          <w:numId w:val="11"/>
        </w:numPr>
        <w:tabs>
          <w:tab w:val="left" w:pos="900"/>
        </w:tabs>
        <w:ind w:left="900"/>
        <w:jc w:val="both"/>
        <w:rPr>
          <w:rFonts w:ascii="Verdana" w:hAnsi="Verdana"/>
          <w:sz w:val="24"/>
          <w:szCs w:val="24"/>
        </w:rPr>
      </w:pPr>
      <w:r w:rsidRPr="00D36ED2">
        <w:rPr>
          <w:rFonts w:ascii="Verdana" w:hAnsi="Verdana"/>
          <w:sz w:val="24"/>
          <w:szCs w:val="24"/>
        </w:rPr>
        <w:t>ROMM – Specifically Significant Risks to have Industry and Entity Specific Risk and Tailor-made approach to address the risk.</w:t>
      </w:r>
    </w:p>
    <w:p w14:paraId="6B42544F" w14:textId="77777777" w:rsidR="00CF655B" w:rsidRPr="00E67E7E" w:rsidRDefault="00CF655B" w:rsidP="00973C9F">
      <w:pPr>
        <w:jc w:val="both"/>
        <w:rPr>
          <w:rFonts w:ascii="Verdana" w:hAnsi="Verdana"/>
        </w:rPr>
      </w:pPr>
    </w:p>
    <w:p w14:paraId="4C10D699" w14:textId="6F45D2DE" w:rsidR="00EC02C8" w:rsidRDefault="00EC02C8" w:rsidP="00973C9F">
      <w:pPr>
        <w:ind w:left="3600" w:firstLine="720"/>
        <w:jc w:val="both"/>
        <w:rPr>
          <w:rFonts w:ascii="Verdana" w:hAnsi="Verdana"/>
        </w:rPr>
      </w:pPr>
    </w:p>
    <w:p w14:paraId="64B77526" w14:textId="6D161F39" w:rsidR="00D36ED2" w:rsidRDefault="00D36ED2" w:rsidP="00973C9F">
      <w:pPr>
        <w:ind w:left="3600" w:firstLine="720"/>
        <w:jc w:val="both"/>
        <w:rPr>
          <w:rFonts w:ascii="Verdana" w:hAnsi="Verdana"/>
        </w:rPr>
      </w:pPr>
    </w:p>
    <w:p w14:paraId="04B8C78B" w14:textId="77777777" w:rsidR="00D36ED2" w:rsidRPr="00E67E7E" w:rsidRDefault="00D36ED2" w:rsidP="00973C9F">
      <w:pPr>
        <w:ind w:left="3600" w:firstLine="720"/>
        <w:jc w:val="both"/>
        <w:rPr>
          <w:rFonts w:ascii="Verdana" w:hAnsi="Verdana"/>
        </w:rPr>
      </w:pPr>
    </w:p>
    <w:p w14:paraId="18664BB4" w14:textId="026CD8DA" w:rsidR="00636221" w:rsidRPr="00E67E7E" w:rsidRDefault="00EC02C8" w:rsidP="00101EBA">
      <w:pPr>
        <w:jc w:val="center"/>
        <w:rPr>
          <w:rFonts w:ascii="Verdana" w:hAnsi="Verdana"/>
        </w:rPr>
      </w:pPr>
      <w:r w:rsidRPr="00E67E7E">
        <w:rPr>
          <w:rFonts w:ascii="Verdana" w:hAnsi="Verdana"/>
        </w:rPr>
        <w:t>&lt;End of WP&gt;</w:t>
      </w:r>
    </w:p>
    <w:sectPr w:rsidR="00636221" w:rsidRPr="00E67E7E" w:rsidSect="00092102">
      <w:footerReference w:type="default" r:id="rId12"/>
      <w:pgSz w:w="11909" w:h="16834" w:code="9"/>
      <w:pgMar w:top="1440" w:right="936" w:bottom="936" w:left="1440" w:header="720" w:footer="4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D161D" w14:textId="77777777" w:rsidR="00367927" w:rsidRDefault="00367927" w:rsidP="000A76C5">
      <w:r>
        <w:separator/>
      </w:r>
    </w:p>
  </w:endnote>
  <w:endnote w:type="continuationSeparator" w:id="0">
    <w:p w14:paraId="58283CCD" w14:textId="77777777" w:rsidR="00367927" w:rsidRDefault="00367927" w:rsidP="000A7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856450"/>
      <w:docPartObj>
        <w:docPartGallery w:val="Page Numbers (Bottom of Page)"/>
        <w:docPartUnique/>
      </w:docPartObj>
    </w:sdtPr>
    <w:sdtEndPr>
      <w:rPr>
        <w:rFonts w:ascii="Verdana" w:hAnsi="Verdana"/>
        <w:sz w:val="20"/>
        <w:szCs w:val="20"/>
      </w:rPr>
    </w:sdtEndPr>
    <w:sdtContent>
      <w:sdt>
        <w:sdtPr>
          <w:rPr>
            <w:rFonts w:ascii="Verdana" w:hAnsi="Verdana"/>
            <w:sz w:val="20"/>
            <w:szCs w:val="20"/>
          </w:rPr>
          <w:id w:val="-1148583305"/>
          <w:docPartObj>
            <w:docPartGallery w:val="Page Numbers (Top of Page)"/>
            <w:docPartUnique/>
          </w:docPartObj>
        </w:sdtPr>
        <w:sdtEndPr/>
        <w:sdtContent>
          <w:p w14:paraId="05A1E99D" w14:textId="76A7C25F" w:rsidR="000A76C5" w:rsidRPr="000A76C5" w:rsidRDefault="000A76C5" w:rsidP="000A76C5">
            <w:pPr>
              <w:pStyle w:val="Footer"/>
              <w:jc w:val="right"/>
              <w:rPr>
                <w:rFonts w:ascii="Verdana" w:hAnsi="Verdana"/>
                <w:sz w:val="20"/>
                <w:szCs w:val="20"/>
              </w:rPr>
            </w:pPr>
            <w:r w:rsidRPr="000A76C5">
              <w:rPr>
                <w:rFonts w:ascii="Verdana" w:hAnsi="Verdana"/>
                <w:sz w:val="20"/>
                <w:szCs w:val="20"/>
              </w:rPr>
              <w:t xml:space="preserve">Page </w:t>
            </w:r>
            <w:r w:rsidRPr="000A76C5">
              <w:rPr>
                <w:rFonts w:ascii="Verdana" w:hAnsi="Verdana"/>
                <w:b/>
                <w:bCs/>
                <w:sz w:val="20"/>
                <w:szCs w:val="20"/>
              </w:rPr>
              <w:fldChar w:fldCharType="begin"/>
            </w:r>
            <w:r w:rsidRPr="000A76C5">
              <w:rPr>
                <w:rFonts w:ascii="Verdana" w:hAnsi="Verdana"/>
                <w:b/>
                <w:bCs/>
                <w:sz w:val="20"/>
                <w:szCs w:val="20"/>
              </w:rPr>
              <w:instrText xml:space="preserve"> PAGE </w:instrText>
            </w:r>
            <w:r w:rsidRPr="000A76C5">
              <w:rPr>
                <w:rFonts w:ascii="Verdana" w:hAnsi="Verdana"/>
                <w:b/>
                <w:bCs/>
                <w:sz w:val="20"/>
                <w:szCs w:val="20"/>
              </w:rPr>
              <w:fldChar w:fldCharType="separate"/>
            </w:r>
            <w:r w:rsidR="006B4FDE">
              <w:rPr>
                <w:rFonts w:ascii="Verdana" w:hAnsi="Verdana"/>
                <w:b/>
                <w:bCs/>
                <w:noProof/>
                <w:sz w:val="20"/>
                <w:szCs w:val="20"/>
              </w:rPr>
              <w:t>7</w:t>
            </w:r>
            <w:r w:rsidRPr="000A76C5">
              <w:rPr>
                <w:rFonts w:ascii="Verdana" w:hAnsi="Verdana"/>
                <w:b/>
                <w:bCs/>
                <w:sz w:val="20"/>
                <w:szCs w:val="20"/>
              </w:rPr>
              <w:fldChar w:fldCharType="end"/>
            </w:r>
            <w:r w:rsidRPr="000A76C5">
              <w:rPr>
                <w:rFonts w:ascii="Verdana" w:hAnsi="Verdana"/>
                <w:sz w:val="20"/>
                <w:szCs w:val="20"/>
              </w:rPr>
              <w:t xml:space="preserve"> of </w:t>
            </w:r>
            <w:r w:rsidRPr="000A76C5">
              <w:rPr>
                <w:rFonts w:ascii="Verdana" w:hAnsi="Verdana"/>
                <w:b/>
                <w:bCs/>
                <w:sz w:val="20"/>
                <w:szCs w:val="20"/>
              </w:rPr>
              <w:fldChar w:fldCharType="begin"/>
            </w:r>
            <w:r w:rsidRPr="000A76C5">
              <w:rPr>
                <w:rFonts w:ascii="Verdana" w:hAnsi="Verdana"/>
                <w:b/>
                <w:bCs/>
                <w:sz w:val="20"/>
                <w:szCs w:val="20"/>
              </w:rPr>
              <w:instrText xml:space="preserve"> NUMPAGES  </w:instrText>
            </w:r>
            <w:r w:rsidRPr="000A76C5">
              <w:rPr>
                <w:rFonts w:ascii="Verdana" w:hAnsi="Verdana"/>
                <w:b/>
                <w:bCs/>
                <w:sz w:val="20"/>
                <w:szCs w:val="20"/>
              </w:rPr>
              <w:fldChar w:fldCharType="separate"/>
            </w:r>
            <w:r w:rsidR="006B4FDE">
              <w:rPr>
                <w:rFonts w:ascii="Verdana" w:hAnsi="Verdana"/>
                <w:b/>
                <w:bCs/>
                <w:noProof/>
                <w:sz w:val="20"/>
                <w:szCs w:val="20"/>
              </w:rPr>
              <w:t>7</w:t>
            </w:r>
            <w:r w:rsidRPr="000A76C5">
              <w:rPr>
                <w:rFonts w:ascii="Verdana" w:hAnsi="Verdana"/>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7F5C3" w14:textId="77777777" w:rsidR="00367927" w:rsidRDefault="00367927" w:rsidP="000A76C5">
      <w:r>
        <w:separator/>
      </w:r>
    </w:p>
  </w:footnote>
  <w:footnote w:type="continuationSeparator" w:id="0">
    <w:p w14:paraId="74226F93" w14:textId="77777777" w:rsidR="00367927" w:rsidRDefault="00367927" w:rsidP="000A76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5pt;height:11.5pt" o:bullet="t">
        <v:imagedata r:id="rId1" o:title="mso61C3"/>
      </v:shape>
    </w:pict>
  </w:numPicBullet>
  <w:abstractNum w:abstractNumId="0" w15:restartNumberingAfterBreak="0">
    <w:nsid w:val="036861D1"/>
    <w:multiLevelType w:val="hybridMultilevel"/>
    <w:tmpl w:val="D49AB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66095"/>
    <w:multiLevelType w:val="hybridMultilevel"/>
    <w:tmpl w:val="DCAC6ED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D6762"/>
    <w:multiLevelType w:val="hybridMultilevel"/>
    <w:tmpl w:val="CF9AF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6E15DB"/>
    <w:multiLevelType w:val="multilevel"/>
    <w:tmpl w:val="F8F6B27E"/>
    <w:lvl w:ilvl="0">
      <w:start w:val="1"/>
      <w:numFmt w:val="decimal"/>
      <w:pStyle w:val="NumberedParagraph"/>
      <w:lvlText w:val="%1."/>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51B5287"/>
    <w:multiLevelType w:val="hybridMultilevel"/>
    <w:tmpl w:val="958488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191B29"/>
    <w:multiLevelType w:val="hybridMultilevel"/>
    <w:tmpl w:val="EBF83F26"/>
    <w:lvl w:ilvl="0" w:tplc="0A92EF2C">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63066D"/>
    <w:multiLevelType w:val="hybridMultilevel"/>
    <w:tmpl w:val="B22E1EC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1CC5518"/>
    <w:multiLevelType w:val="hybridMultilevel"/>
    <w:tmpl w:val="9BE8BC7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2A53D3F"/>
    <w:multiLevelType w:val="hybridMultilevel"/>
    <w:tmpl w:val="D93458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6D639F"/>
    <w:multiLevelType w:val="hybridMultilevel"/>
    <w:tmpl w:val="12E2D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3120A2"/>
    <w:multiLevelType w:val="hybridMultilevel"/>
    <w:tmpl w:val="AFFCC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B22D2F"/>
    <w:multiLevelType w:val="hybridMultilevel"/>
    <w:tmpl w:val="03366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D365E5F"/>
    <w:multiLevelType w:val="hybridMultilevel"/>
    <w:tmpl w:val="24E864CE"/>
    <w:lvl w:ilvl="0" w:tplc="E65E2306">
      <w:numFmt w:val="bullet"/>
      <w:lvlText w:val="•"/>
      <w:lvlJc w:val="left"/>
      <w:pPr>
        <w:ind w:left="720" w:hanging="360"/>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F5562E"/>
    <w:multiLevelType w:val="multilevel"/>
    <w:tmpl w:val="30E4E6F4"/>
    <w:lvl w:ilvl="0">
      <w:start w:val="1"/>
      <w:numFmt w:val="none"/>
      <w:pStyle w:val="ocNum4th1"/>
      <w:suff w:val="nothing"/>
      <w:lvlText w:val=""/>
      <w:lvlJc w:val="left"/>
      <w:rPr>
        <w:rFonts w:ascii="Times New Roman" w:hAnsi="Times New Roman" w:cs="Times New Roman" w:hint="default"/>
        <w:b w:val="0"/>
        <w:i w:val="0"/>
        <w:caps w:val="0"/>
        <w:strike w:val="0"/>
        <w:dstrike w:val="0"/>
        <w:vanish w:val="0"/>
        <w:color w:val="auto"/>
        <w:sz w:val="18"/>
        <w:u w:val="none"/>
        <w:effect w:val="none"/>
        <w:vertAlign w:val="baseline"/>
      </w:rPr>
    </w:lvl>
    <w:lvl w:ilvl="1">
      <w:start w:val="1"/>
      <w:numFmt w:val="decimal"/>
      <w:pStyle w:val="ocNum4th1"/>
      <w:lvlText w:val="%2."/>
      <w:lvlJc w:val="left"/>
      <w:pPr>
        <w:tabs>
          <w:tab w:val="num" w:pos="680"/>
        </w:tabs>
        <w:ind w:left="680" w:hanging="680"/>
      </w:pPr>
      <w:rPr>
        <w:rFonts w:ascii="Times New Roman" w:hAnsi="Times New Roman" w:cs="Times New Roman" w:hint="default"/>
        <w:b w:val="0"/>
        <w:i w:val="0"/>
        <w:caps w:val="0"/>
        <w:strike w:val="0"/>
        <w:dstrike w:val="0"/>
        <w:vanish w:val="0"/>
        <w:color w:val="auto"/>
        <w:sz w:val="20"/>
        <w:szCs w:val="20"/>
        <w:u w:val="none"/>
        <w:effect w:val="none"/>
        <w:vertAlign w:val="baseline"/>
      </w:rPr>
    </w:lvl>
    <w:lvl w:ilvl="2">
      <w:start w:val="1"/>
      <w:numFmt w:val="decimal"/>
      <w:pStyle w:val="ocNum4th2"/>
      <w:isLgl/>
      <w:lvlText w:val="%2.%3"/>
      <w:lvlJc w:val="left"/>
      <w:pPr>
        <w:tabs>
          <w:tab w:val="num" w:pos="680"/>
        </w:tabs>
        <w:ind w:left="680" w:hanging="680"/>
      </w:pPr>
      <w:rPr>
        <w:rFonts w:ascii="Times New Roman" w:hAnsi="Times New Roman" w:cs="Times New Roman" w:hint="default"/>
        <w:b w:val="0"/>
        <w:i w:val="0"/>
        <w:caps w:val="0"/>
        <w:strike w:val="0"/>
        <w:dstrike w:val="0"/>
        <w:vanish w:val="0"/>
        <w:color w:val="auto"/>
        <w:sz w:val="18"/>
        <w:u w:val="none"/>
        <w:effect w:val="none"/>
        <w:vertAlign w:val="baseline"/>
      </w:rPr>
    </w:lvl>
    <w:lvl w:ilvl="3">
      <w:start w:val="1"/>
      <w:numFmt w:val="none"/>
      <w:pStyle w:val="ocNum4th3"/>
      <w:suff w:val="nothing"/>
      <w:lvlText w:val=""/>
      <w:lvlJc w:val="left"/>
      <w:pPr>
        <w:ind w:left="680"/>
      </w:pPr>
      <w:rPr>
        <w:rFonts w:ascii="Times New Roman" w:hAnsi="Times New Roman" w:cs="Times New Roman" w:hint="default"/>
        <w:b w:val="0"/>
        <w:i w:val="0"/>
        <w:caps w:val="0"/>
        <w:strike w:val="0"/>
        <w:dstrike w:val="0"/>
        <w:vanish w:val="0"/>
        <w:color w:val="auto"/>
        <w:sz w:val="18"/>
        <w:u w:val="none"/>
        <w:effect w:val="none"/>
        <w:vertAlign w:val="baseline"/>
      </w:rPr>
    </w:lvl>
    <w:lvl w:ilvl="4">
      <w:start w:val="1"/>
      <w:numFmt w:val="lowerLetter"/>
      <w:pStyle w:val="ocNum4th4"/>
      <w:lvlText w:val="(%5)"/>
      <w:lvlJc w:val="left"/>
      <w:pPr>
        <w:tabs>
          <w:tab w:val="num" w:pos="1361"/>
        </w:tabs>
        <w:ind w:left="1361" w:hanging="681"/>
      </w:pPr>
      <w:rPr>
        <w:rFonts w:ascii="Times New Roman" w:hAnsi="Times New Roman" w:cs="Times New Roman" w:hint="default"/>
        <w:b w:val="0"/>
        <w:i w:val="0"/>
        <w:caps w:val="0"/>
        <w:strike w:val="0"/>
        <w:dstrike w:val="0"/>
        <w:vanish w:val="0"/>
        <w:color w:val="auto"/>
        <w:sz w:val="18"/>
        <w:u w:val="none"/>
        <w:effect w:val="none"/>
        <w:vertAlign w:val="baseline"/>
      </w:rPr>
    </w:lvl>
    <w:lvl w:ilvl="5">
      <w:start w:val="1"/>
      <w:numFmt w:val="lowerRoman"/>
      <w:pStyle w:val="ocNum4th5"/>
      <w:lvlText w:val="(%6)"/>
      <w:lvlJc w:val="left"/>
      <w:pPr>
        <w:tabs>
          <w:tab w:val="num" w:pos="2041"/>
        </w:tabs>
        <w:ind w:left="2041" w:hanging="680"/>
      </w:pPr>
      <w:rPr>
        <w:rFonts w:ascii="Times New Roman" w:hAnsi="Times New Roman" w:cs="Times New Roman" w:hint="default"/>
        <w:b w:val="0"/>
        <w:i w:val="0"/>
        <w:caps w:val="0"/>
        <w:strike w:val="0"/>
        <w:dstrike w:val="0"/>
        <w:vanish w:val="0"/>
        <w:color w:val="auto"/>
        <w:sz w:val="18"/>
        <w:u w:val="none"/>
        <w:effect w:val="none"/>
        <w:vertAlign w:val="baseline"/>
      </w:rPr>
    </w:lvl>
    <w:lvl w:ilvl="6">
      <w:start w:val="1"/>
      <w:numFmt w:val="upperLetter"/>
      <w:pStyle w:val="ocNum4th6"/>
      <w:lvlText w:val="(%7)"/>
      <w:lvlJc w:val="left"/>
      <w:pPr>
        <w:tabs>
          <w:tab w:val="num" w:pos="2722"/>
        </w:tabs>
        <w:ind w:left="2722" w:hanging="681"/>
      </w:pPr>
      <w:rPr>
        <w:rFonts w:ascii="Times New Roman" w:hAnsi="Times New Roman" w:cs="Times New Roman" w:hint="default"/>
        <w:b/>
        <w:i w:val="0"/>
        <w:caps w:val="0"/>
        <w:strike w:val="0"/>
        <w:dstrike w:val="0"/>
        <w:vanish w:val="0"/>
        <w:color w:val="auto"/>
        <w:sz w:val="18"/>
        <w:u w:val="none"/>
        <w:effect w:val="none"/>
        <w:vertAlign w:val="baseline"/>
      </w:rPr>
    </w:lvl>
    <w:lvl w:ilvl="7">
      <w:start w:val="1"/>
      <w:numFmt w:val="decimal"/>
      <w:pStyle w:val="ocNum4th7"/>
      <w:lvlText w:val="(%8)"/>
      <w:lvlJc w:val="left"/>
      <w:pPr>
        <w:tabs>
          <w:tab w:val="num" w:pos="3402"/>
        </w:tabs>
        <w:ind w:left="3402" w:hanging="680"/>
      </w:pPr>
      <w:rPr>
        <w:rFonts w:ascii="Times New Roman" w:hAnsi="Times New Roman" w:cs="Times New Roman" w:hint="default"/>
        <w:b w:val="0"/>
        <w:i w:val="0"/>
        <w:caps w:val="0"/>
        <w:strike w:val="0"/>
        <w:dstrike w:val="0"/>
        <w:vanish w:val="0"/>
        <w:color w:val="auto"/>
        <w:sz w:val="20"/>
        <w:u w:val="none"/>
        <w:effect w:val="none"/>
        <w:vertAlign w:val="baseline"/>
      </w:rPr>
    </w:lvl>
    <w:lvl w:ilvl="8">
      <w:start w:val="1"/>
      <w:numFmt w:val="none"/>
      <w:pStyle w:val="ocNum4th8"/>
      <w:suff w:val="nothing"/>
      <w:lvlText w:val=""/>
      <w:lvlJc w:val="left"/>
      <w:rPr>
        <w:rFonts w:ascii="Times New Roman" w:hAnsi="Times New Roman" w:cs="Times New Roman" w:hint="default"/>
        <w:b w:val="0"/>
        <w:i w:val="0"/>
        <w:caps w:val="0"/>
        <w:strike w:val="0"/>
        <w:dstrike w:val="0"/>
        <w:vanish w:val="0"/>
        <w:color w:val="auto"/>
        <w:sz w:val="20"/>
        <w:u w:val="none"/>
        <w:effect w:val="none"/>
        <w:vertAlign w:val="baseline"/>
      </w:rPr>
    </w:lvl>
  </w:abstractNum>
  <w:abstractNum w:abstractNumId="14" w15:restartNumberingAfterBreak="0">
    <w:nsid w:val="54370564"/>
    <w:multiLevelType w:val="hybridMultilevel"/>
    <w:tmpl w:val="D7CC40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3727FC"/>
    <w:multiLevelType w:val="hybridMultilevel"/>
    <w:tmpl w:val="2F7270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B44FE1"/>
    <w:multiLevelType w:val="hybridMultilevel"/>
    <w:tmpl w:val="34A29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370AC1"/>
    <w:multiLevelType w:val="hybridMultilevel"/>
    <w:tmpl w:val="BC2A5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C6E25"/>
    <w:multiLevelType w:val="hybridMultilevel"/>
    <w:tmpl w:val="A35A49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8F1"/>
    <w:multiLevelType w:val="hybridMultilevel"/>
    <w:tmpl w:val="8CE82EE6"/>
    <w:lvl w:ilvl="0" w:tplc="55F4E0CC">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5F4214"/>
    <w:multiLevelType w:val="hybridMultilevel"/>
    <w:tmpl w:val="59FC9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CE2462"/>
    <w:multiLevelType w:val="hybridMultilevel"/>
    <w:tmpl w:val="03D67C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E008F"/>
    <w:multiLevelType w:val="hybridMultilevel"/>
    <w:tmpl w:val="5D7E181A"/>
    <w:lvl w:ilvl="0" w:tplc="0409000D">
      <w:start w:val="1"/>
      <w:numFmt w:val="bullet"/>
      <w:lvlText w:val=""/>
      <w:lvlJc w:val="left"/>
      <w:pPr>
        <w:tabs>
          <w:tab w:val="num" w:pos="720"/>
        </w:tabs>
        <w:ind w:left="720" w:hanging="360"/>
      </w:pPr>
      <w:rPr>
        <w:rFonts w:ascii="Wingdings" w:hAnsi="Wingdings" w:hint="default"/>
      </w:rPr>
    </w:lvl>
    <w:lvl w:ilvl="1" w:tplc="6FEE8C58" w:tentative="1">
      <w:start w:val="1"/>
      <w:numFmt w:val="bullet"/>
      <w:lvlText w:val=""/>
      <w:lvlJc w:val="left"/>
      <w:pPr>
        <w:tabs>
          <w:tab w:val="num" w:pos="1440"/>
        </w:tabs>
        <w:ind w:left="1440" w:hanging="360"/>
      </w:pPr>
      <w:rPr>
        <w:rFonts w:ascii="Wingdings" w:hAnsi="Wingdings" w:hint="default"/>
      </w:rPr>
    </w:lvl>
    <w:lvl w:ilvl="2" w:tplc="89087698" w:tentative="1">
      <w:start w:val="1"/>
      <w:numFmt w:val="bullet"/>
      <w:lvlText w:val=""/>
      <w:lvlJc w:val="left"/>
      <w:pPr>
        <w:tabs>
          <w:tab w:val="num" w:pos="2160"/>
        </w:tabs>
        <w:ind w:left="2160" w:hanging="360"/>
      </w:pPr>
      <w:rPr>
        <w:rFonts w:ascii="Wingdings" w:hAnsi="Wingdings" w:hint="default"/>
      </w:rPr>
    </w:lvl>
    <w:lvl w:ilvl="3" w:tplc="45EA9110" w:tentative="1">
      <w:start w:val="1"/>
      <w:numFmt w:val="bullet"/>
      <w:lvlText w:val=""/>
      <w:lvlJc w:val="left"/>
      <w:pPr>
        <w:tabs>
          <w:tab w:val="num" w:pos="2880"/>
        </w:tabs>
        <w:ind w:left="2880" w:hanging="360"/>
      </w:pPr>
      <w:rPr>
        <w:rFonts w:ascii="Wingdings" w:hAnsi="Wingdings" w:hint="default"/>
      </w:rPr>
    </w:lvl>
    <w:lvl w:ilvl="4" w:tplc="A7005370" w:tentative="1">
      <w:start w:val="1"/>
      <w:numFmt w:val="bullet"/>
      <w:lvlText w:val=""/>
      <w:lvlJc w:val="left"/>
      <w:pPr>
        <w:tabs>
          <w:tab w:val="num" w:pos="3600"/>
        </w:tabs>
        <w:ind w:left="3600" w:hanging="360"/>
      </w:pPr>
      <w:rPr>
        <w:rFonts w:ascii="Wingdings" w:hAnsi="Wingdings" w:hint="default"/>
      </w:rPr>
    </w:lvl>
    <w:lvl w:ilvl="5" w:tplc="72D27390" w:tentative="1">
      <w:start w:val="1"/>
      <w:numFmt w:val="bullet"/>
      <w:lvlText w:val=""/>
      <w:lvlJc w:val="left"/>
      <w:pPr>
        <w:tabs>
          <w:tab w:val="num" w:pos="4320"/>
        </w:tabs>
        <w:ind w:left="4320" w:hanging="360"/>
      </w:pPr>
      <w:rPr>
        <w:rFonts w:ascii="Wingdings" w:hAnsi="Wingdings" w:hint="default"/>
      </w:rPr>
    </w:lvl>
    <w:lvl w:ilvl="6" w:tplc="E79019E0" w:tentative="1">
      <w:start w:val="1"/>
      <w:numFmt w:val="bullet"/>
      <w:lvlText w:val=""/>
      <w:lvlJc w:val="left"/>
      <w:pPr>
        <w:tabs>
          <w:tab w:val="num" w:pos="5040"/>
        </w:tabs>
        <w:ind w:left="5040" w:hanging="360"/>
      </w:pPr>
      <w:rPr>
        <w:rFonts w:ascii="Wingdings" w:hAnsi="Wingdings" w:hint="default"/>
      </w:rPr>
    </w:lvl>
    <w:lvl w:ilvl="7" w:tplc="FD46ED32" w:tentative="1">
      <w:start w:val="1"/>
      <w:numFmt w:val="bullet"/>
      <w:lvlText w:val=""/>
      <w:lvlJc w:val="left"/>
      <w:pPr>
        <w:tabs>
          <w:tab w:val="num" w:pos="5760"/>
        </w:tabs>
        <w:ind w:left="5760" w:hanging="360"/>
      </w:pPr>
      <w:rPr>
        <w:rFonts w:ascii="Wingdings" w:hAnsi="Wingdings" w:hint="default"/>
      </w:rPr>
    </w:lvl>
    <w:lvl w:ilvl="8" w:tplc="32868C6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5C96249"/>
    <w:multiLevelType w:val="hybridMultilevel"/>
    <w:tmpl w:val="9B5EE1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7D61F39"/>
    <w:multiLevelType w:val="hybridMultilevel"/>
    <w:tmpl w:val="21400F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C636CA"/>
    <w:multiLevelType w:val="hybridMultilevel"/>
    <w:tmpl w:val="502E8AC0"/>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7D37690D"/>
    <w:multiLevelType w:val="hybridMultilevel"/>
    <w:tmpl w:val="C13A4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9"/>
  </w:num>
  <w:num w:numId="4">
    <w:abstractNumId w:val="16"/>
  </w:num>
  <w:num w:numId="5">
    <w:abstractNumId w:val="10"/>
  </w:num>
  <w:num w:numId="6">
    <w:abstractNumId w:val="0"/>
  </w:num>
  <w:num w:numId="7">
    <w:abstractNumId w:val="24"/>
  </w:num>
  <w:num w:numId="8">
    <w:abstractNumId w:val="17"/>
  </w:num>
  <w:num w:numId="9">
    <w:abstractNumId w:val="25"/>
  </w:num>
  <w:num w:numId="10">
    <w:abstractNumId w:val="26"/>
  </w:num>
  <w:num w:numId="11">
    <w:abstractNumId w:val="9"/>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5"/>
  </w:num>
  <w:num w:numId="14">
    <w:abstractNumId w:val="18"/>
  </w:num>
  <w:num w:numId="15">
    <w:abstractNumId w:val="1"/>
  </w:num>
  <w:num w:numId="16">
    <w:abstractNumId w:val="6"/>
  </w:num>
  <w:num w:numId="17">
    <w:abstractNumId w:val="15"/>
  </w:num>
  <w:num w:numId="18">
    <w:abstractNumId w:val="21"/>
  </w:num>
  <w:num w:numId="19">
    <w:abstractNumId w:val="13"/>
  </w:num>
  <w:num w:numId="20">
    <w:abstractNumId w:val="20"/>
  </w:num>
  <w:num w:numId="21">
    <w:abstractNumId w:val="22"/>
  </w:num>
  <w:num w:numId="22">
    <w:abstractNumId w:val="7"/>
  </w:num>
  <w:num w:numId="23">
    <w:abstractNumId w:val="12"/>
  </w:num>
  <w:num w:numId="24">
    <w:abstractNumId w:val="2"/>
  </w:num>
  <w:num w:numId="25">
    <w:abstractNumId w:val="11"/>
  </w:num>
  <w:num w:numId="26">
    <w:abstractNumId w:val="5"/>
  </w:num>
  <w:num w:numId="27">
    <w:abstractNumId w:val="23"/>
  </w:num>
  <w:num w:numId="28">
    <w:abstractNumId w:val="1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049"/>
    <w:rsid w:val="0000171D"/>
    <w:rsid w:val="00007A38"/>
    <w:rsid w:val="00007C27"/>
    <w:rsid w:val="000175CB"/>
    <w:rsid w:val="00024C02"/>
    <w:rsid w:val="000273DE"/>
    <w:rsid w:val="0003233B"/>
    <w:rsid w:val="00036EDA"/>
    <w:rsid w:val="00042D97"/>
    <w:rsid w:val="00047362"/>
    <w:rsid w:val="000524AB"/>
    <w:rsid w:val="00052CC7"/>
    <w:rsid w:val="0006235D"/>
    <w:rsid w:val="000827E3"/>
    <w:rsid w:val="000829FD"/>
    <w:rsid w:val="00087BA4"/>
    <w:rsid w:val="00092102"/>
    <w:rsid w:val="0009290D"/>
    <w:rsid w:val="00093DE2"/>
    <w:rsid w:val="00094FC3"/>
    <w:rsid w:val="000A0F7A"/>
    <w:rsid w:val="000A4717"/>
    <w:rsid w:val="000A76C5"/>
    <w:rsid w:val="000B5130"/>
    <w:rsid w:val="000B6952"/>
    <w:rsid w:val="000B6E2E"/>
    <w:rsid w:val="000C1EA4"/>
    <w:rsid w:val="000E198A"/>
    <w:rsid w:val="000F3948"/>
    <w:rsid w:val="00101EBA"/>
    <w:rsid w:val="00102BDD"/>
    <w:rsid w:val="001076BE"/>
    <w:rsid w:val="00116031"/>
    <w:rsid w:val="00117186"/>
    <w:rsid w:val="00117695"/>
    <w:rsid w:val="0011787E"/>
    <w:rsid w:val="0012234B"/>
    <w:rsid w:val="00123DA3"/>
    <w:rsid w:val="00124F12"/>
    <w:rsid w:val="00131C5D"/>
    <w:rsid w:val="001329B3"/>
    <w:rsid w:val="00132F94"/>
    <w:rsid w:val="00150BA2"/>
    <w:rsid w:val="00151DB2"/>
    <w:rsid w:val="001537D1"/>
    <w:rsid w:val="0015616B"/>
    <w:rsid w:val="00157D75"/>
    <w:rsid w:val="00177E21"/>
    <w:rsid w:val="00181232"/>
    <w:rsid w:val="00182048"/>
    <w:rsid w:val="001867CC"/>
    <w:rsid w:val="00187BC6"/>
    <w:rsid w:val="001B3FC6"/>
    <w:rsid w:val="001B49C6"/>
    <w:rsid w:val="001C43AC"/>
    <w:rsid w:val="001C4F2E"/>
    <w:rsid w:val="001C57F7"/>
    <w:rsid w:val="001D0352"/>
    <w:rsid w:val="001D7071"/>
    <w:rsid w:val="001E03C8"/>
    <w:rsid w:val="001E133B"/>
    <w:rsid w:val="001F50BE"/>
    <w:rsid w:val="00205CCE"/>
    <w:rsid w:val="00214258"/>
    <w:rsid w:val="00216273"/>
    <w:rsid w:val="002170A9"/>
    <w:rsid w:val="00223722"/>
    <w:rsid w:val="0023020C"/>
    <w:rsid w:val="00230A87"/>
    <w:rsid w:val="00234E1C"/>
    <w:rsid w:val="002353FF"/>
    <w:rsid w:val="00244487"/>
    <w:rsid w:val="00261EDB"/>
    <w:rsid w:val="00277132"/>
    <w:rsid w:val="002834B3"/>
    <w:rsid w:val="00283F87"/>
    <w:rsid w:val="002849B4"/>
    <w:rsid w:val="00285301"/>
    <w:rsid w:val="00287EFC"/>
    <w:rsid w:val="002939A4"/>
    <w:rsid w:val="00294741"/>
    <w:rsid w:val="00295572"/>
    <w:rsid w:val="002A089F"/>
    <w:rsid w:val="002A0B8E"/>
    <w:rsid w:val="002A4CE7"/>
    <w:rsid w:val="002A57BC"/>
    <w:rsid w:val="002A6386"/>
    <w:rsid w:val="002A6BE9"/>
    <w:rsid w:val="002A7174"/>
    <w:rsid w:val="002B34B0"/>
    <w:rsid w:val="002B35F0"/>
    <w:rsid w:val="002B574F"/>
    <w:rsid w:val="002B57EF"/>
    <w:rsid w:val="002B7118"/>
    <w:rsid w:val="002D4FB2"/>
    <w:rsid w:val="002D713C"/>
    <w:rsid w:val="002D7E6A"/>
    <w:rsid w:val="002E1AD3"/>
    <w:rsid w:val="002E2596"/>
    <w:rsid w:val="002E4B88"/>
    <w:rsid w:val="002E5C3E"/>
    <w:rsid w:val="002F71B9"/>
    <w:rsid w:val="0030278B"/>
    <w:rsid w:val="0030355B"/>
    <w:rsid w:val="00304B7A"/>
    <w:rsid w:val="00314807"/>
    <w:rsid w:val="00325126"/>
    <w:rsid w:val="003269B2"/>
    <w:rsid w:val="00331E3D"/>
    <w:rsid w:val="003365DD"/>
    <w:rsid w:val="003409C7"/>
    <w:rsid w:val="003429D4"/>
    <w:rsid w:val="003529B7"/>
    <w:rsid w:val="00360290"/>
    <w:rsid w:val="0036630D"/>
    <w:rsid w:val="00367927"/>
    <w:rsid w:val="00370F97"/>
    <w:rsid w:val="003827E4"/>
    <w:rsid w:val="00383334"/>
    <w:rsid w:val="003862A1"/>
    <w:rsid w:val="00390372"/>
    <w:rsid w:val="003910B0"/>
    <w:rsid w:val="003A4B32"/>
    <w:rsid w:val="003B19DD"/>
    <w:rsid w:val="003C195E"/>
    <w:rsid w:val="003D2D70"/>
    <w:rsid w:val="003D3778"/>
    <w:rsid w:val="003D6DC7"/>
    <w:rsid w:val="003D7FC3"/>
    <w:rsid w:val="003E2EBF"/>
    <w:rsid w:val="003E5D33"/>
    <w:rsid w:val="003E6662"/>
    <w:rsid w:val="003F21B4"/>
    <w:rsid w:val="003F777A"/>
    <w:rsid w:val="00400A20"/>
    <w:rsid w:val="00400E9E"/>
    <w:rsid w:val="00405BB4"/>
    <w:rsid w:val="00412B61"/>
    <w:rsid w:val="004228A5"/>
    <w:rsid w:val="004239BE"/>
    <w:rsid w:val="00426C1D"/>
    <w:rsid w:val="00433A24"/>
    <w:rsid w:val="0043498E"/>
    <w:rsid w:val="0043793D"/>
    <w:rsid w:val="00446237"/>
    <w:rsid w:val="00451662"/>
    <w:rsid w:val="00451982"/>
    <w:rsid w:val="00451A01"/>
    <w:rsid w:val="00452D36"/>
    <w:rsid w:val="00453951"/>
    <w:rsid w:val="00455A96"/>
    <w:rsid w:val="00456F49"/>
    <w:rsid w:val="0046696C"/>
    <w:rsid w:val="00470329"/>
    <w:rsid w:val="00474503"/>
    <w:rsid w:val="0047459F"/>
    <w:rsid w:val="00480434"/>
    <w:rsid w:val="00480A0A"/>
    <w:rsid w:val="00481BD9"/>
    <w:rsid w:val="004916E7"/>
    <w:rsid w:val="00493530"/>
    <w:rsid w:val="0049693C"/>
    <w:rsid w:val="004B0D36"/>
    <w:rsid w:val="004B1A91"/>
    <w:rsid w:val="004C6198"/>
    <w:rsid w:val="004C662C"/>
    <w:rsid w:val="004D2EC9"/>
    <w:rsid w:val="004D42D7"/>
    <w:rsid w:val="004E1B1D"/>
    <w:rsid w:val="00503FFC"/>
    <w:rsid w:val="005078E2"/>
    <w:rsid w:val="00510AA6"/>
    <w:rsid w:val="005152DF"/>
    <w:rsid w:val="00520C23"/>
    <w:rsid w:val="005225F0"/>
    <w:rsid w:val="00527D69"/>
    <w:rsid w:val="00537CD1"/>
    <w:rsid w:val="005404B5"/>
    <w:rsid w:val="005417E5"/>
    <w:rsid w:val="005462A2"/>
    <w:rsid w:val="0055504D"/>
    <w:rsid w:val="00560E90"/>
    <w:rsid w:val="00565104"/>
    <w:rsid w:val="005708D7"/>
    <w:rsid w:val="00572B24"/>
    <w:rsid w:val="005816DA"/>
    <w:rsid w:val="005850A5"/>
    <w:rsid w:val="00586847"/>
    <w:rsid w:val="005869E6"/>
    <w:rsid w:val="00586FA8"/>
    <w:rsid w:val="00592FB6"/>
    <w:rsid w:val="005962AA"/>
    <w:rsid w:val="0059748F"/>
    <w:rsid w:val="005A0877"/>
    <w:rsid w:val="005A3A67"/>
    <w:rsid w:val="005A3DDD"/>
    <w:rsid w:val="005A6D9C"/>
    <w:rsid w:val="005B0995"/>
    <w:rsid w:val="005B6C8A"/>
    <w:rsid w:val="005C27DF"/>
    <w:rsid w:val="005C2978"/>
    <w:rsid w:val="005C55D7"/>
    <w:rsid w:val="005C7D41"/>
    <w:rsid w:val="005D105B"/>
    <w:rsid w:val="005D3ED4"/>
    <w:rsid w:val="005E046A"/>
    <w:rsid w:val="005E37BF"/>
    <w:rsid w:val="005E7915"/>
    <w:rsid w:val="005F362C"/>
    <w:rsid w:val="005F4219"/>
    <w:rsid w:val="005F55CC"/>
    <w:rsid w:val="00612453"/>
    <w:rsid w:val="006202DC"/>
    <w:rsid w:val="00632FF2"/>
    <w:rsid w:val="00633892"/>
    <w:rsid w:val="00636221"/>
    <w:rsid w:val="00641D43"/>
    <w:rsid w:val="00645319"/>
    <w:rsid w:val="00665465"/>
    <w:rsid w:val="006701D9"/>
    <w:rsid w:val="006762D6"/>
    <w:rsid w:val="00677654"/>
    <w:rsid w:val="00680082"/>
    <w:rsid w:val="006A5743"/>
    <w:rsid w:val="006A6F4C"/>
    <w:rsid w:val="006B4FDE"/>
    <w:rsid w:val="006C128A"/>
    <w:rsid w:val="006D2D95"/>
    <w:rsid w:val="006D3AA9"/>
    <w:rsid w:val="006E31E6"/>
    <w:rsid w:val="006F594F"/>
    <w:rsid w:val="006F5AB7"/>
    <w:rsid w:val="00714550"/>
    <w:rsid w:val="00714B59"/>
    <w:rsid w:val="00715630"/>
    <w:rsid w:val="007177F6"/>
    <w:rsid w:val="007313BE"/>
    <w:rsid w:val="00736069"/>
    <w:rsid w:val="00740D8C"/>
    <w:rsid w:val="00741FED"/>
    <w:rsid w:val="00744208"/>
    <w:rsid w:val="007464A5"/>
    <w:rsid w:val="00747C0B"/>
    <w:rsid w:val="0075373B"/>
    <w:rsid w:val="00757652"/>
    <w:rsid w:val="00760DCB"/>
    <w:rsid w:val="0076150D"/>
    <w:rsid w:val="00762FFA"/>
    <w:rsid w:val="0076352D"/>
    <w:rsid w:val="00790D13"/>
    <w:rsid w:val="007A5F3F"/>
    <w:rsid w:val="007C6EB3"/>
    <w:rsid w:val="007F05C2"/>
    <w:rsid w:val="008012E2"/>
    <w:rsid w:val="0080177A"/>
    <w:rsid w:val="00801D7F"/>
    <w:rsid w:val="00802431"/>
    <w:rsid w:val="00803A7E"/>
    <w:rsid w:val="00804988"/>
    <w:rsid w:val="00805460"/>
    <w:rsid w:val="00812381"/>
    <w:rsid w:val="00812B05"/>
    <w:rsid w:val="008168EE"/>
    <w:rsid w:val="00820A4A"/>
    <w:rsid w:val="00827C7F"/>
    <w:rsid w:val="0083036E"/>
    <w:rsid w:val="0083178D"/>
    <w:rsid w:val="008350DB"/>
    <w:rsid w:val="0083592E"/>
    <w:rsid w:val="00836FBF"/>
    <w:rsid w:val="00842A09"/>
    <w:rsid w:val="00856654"/>
    <w:rsid w:val="0085791E"/>
    <w:rsid w:val="0086207D"/>
    <w:rsid w:val="008700F2"/>
    <w:rsid w:val="008756C9"/>
    <w:rsid w:val="00881F98"/>
    <w:rsid w:val="00885191"/>
    <w:rsid w:val="008A4598"/>
    <w:rsid w:val="008A62E0"/>
    <w:rsid w:val="008A63C7"/>
    <w:rsid w:val="008B07F3"/>
    <w:rsid w:val="008B392A"/>
    <w:rsid w:val="008C69B8"/>
    <w:rsid w:val="008C769D"/>
    <w:rsid w:val="008D0181"/>
    <w:rsid w:val="008D1D26"/>
    <w:rsid w:val="008D5F18"/>
    <w:rsid w:val="008E0724"/>
    <w:rsid w:val="008E0A01"/>
    <w:rsid w:val="008F009D"/>
    <w:rsid w:val="008F22E6"/>
    <w:rsid w:val="008F30A1"/>
    <w:rsid w:val="008F69C0"/>
    <w:rsid w:val="00902DFC"/>
    <w:rsid w:val="009074EC"/>
    <w:rsid w:val="00913EC3"/>
    <w:rsid w:val="00923AB9"/>
    <w:rsid w:val="00925641"/>
    <w:rsid w:val="00930211"/>
    <w:rsid w:val="00954B58"/>
    <w:rsid w:val="00955CA8"/>
    <w:rsid w:val="00961BDE"/>
    <w:rsid w:val="00973C9F"/>
    <w:rsid w:val="009746FA"/>
    <w:rsid w:val="0098245D"/>
    <w:rsid w:val="009900CF"/>
    <w:rsid w:val="009920A4"/>
    <w:rsid w:val="009B50FA"/>
    <w:rsid w:val="009B58C6"/>
    <w:rsid w:val="009B6BC3"/>
    <w:rsid w:val="009C1A25"/>
    <w:rsid w:val="009C37BF"/>
    <w:rsid w:val="009C4CA6"/>
    <w:rsid w:val="009C7B8B"/>
    <w:rsid w:val="009D2157"/>
    <w:rsid w:val="009D3430"/>
    <w:rsid w:val="009E11E7"/>
    <w:rsid w:val="009E5CB3"/>
    <w:rsid w:val="009E62F5"/>
    <w:rsid w:val="00A02FCF"/>
    <w:rsid w:val="00A15AF2"/>
    <w:rsid w:val="00A16583"/>
    <w:rsid w:val="00A242CC"/>
    <w:rsid w:val="00A27EE5"/>
    <w:rsid w:val="00A320C0"/>
    <w:rsid w:val="00A53E09"/>
    <w:rsid w:val="00A62AC3"/>
    <w:rsid w:val="00A63E81"/>
    <w:rsid w:val="00A707FC"/>
    <w:rsid w:val="00A7361C"/>
    <w:rsid w:val="00AB20FB"/>
    <w:rsid w:val="00AB454C"/>
    <w:rsid w:val="00AC049F"/>
    <w:rsid w:val="00AC4441"/>
    <w:rsid w:val="00AC60FB"/>
    <w:rsid w:val="00AD69AA"/>
    <w:rsid w:val="00AD7E02"/>
    <w:rsid w:val="00AF265E"/>
    <w:rsid w:val="00AF7E12"/>
    <w:rsid w:val="00B01677"/>
    <w:rsid w:val="00B13486"/>
    <w:rsid w:val="00B17C60"/>
    <w:rsid w:val="00B21AAD"/>
    <w:rsid w:val="00B33096"/>
    <w:rsid w:val="00B367E5"/>
    <w:rsid w:val="00B501F4"/>
    <w:rsid w:val="00B51722"/>
    <w:rsid w:val="00B51E75"/>
    <w:rsid w:val="00B56211"/>
    <w:rsid w:val="00B67CC4"/>
    <w:rsid w:val="00B72BC4"/>
    <w:rsid w:val="00B82497"/>
    <w:rsid w:val="00B92915"/>
    <w:rsid w:val="00B96454"/>
    <w:rsid w:val="00B96CA4"/>
    <w:rsid w:val="00B97C35"/>
    <w:rsid w:val="00BA1FA2"/>
    <w:rsid w:val="00BB23D4"/>
    <w:rsid w:val="00BB2553"/>
    <w:rsid w:val="00BB3549"/>
    <w:rsid w:val="00BB7B1B"/>
    <w:rsid w:val="00BC678C"/>
    <w:rsid w:val="00BD1965"/>
    <w:rsid w:val="00BD2244"/>
    <w:rsid w:val="00BD46B9"/>
    <w:rsid w:val="00BD46D6"/>
    <w:rsid w:val="00BD64F5"/>
    <w:rsid w:val="00BE22B7"/>
    <w:rsid w:val="00BE38E9"/>
    <w:rsid w:val="00BE50F3"/>
    <w:rsid w:val="00BE5215"/>
    <w:rsid w:val="00BE7562"/>
    <w:rsid w:val="00BF2B69"/>
    <w:rsid w:val="00BF3003"/>
    <w:rsid w:val="00BF3F00"/>
    <w:rsid w:val="00BF7386"/>
    <w:rsid w:val="00C03C0D"/>
    <w:rsid w:val="00C05E4B"/>
    <w:rsid w:val="00C100F9"/>
    <w:rsid w:val="00C11346"/>
    <w:rsid w:val="00C11D94"/>
    <w:rsid w:val="00C1281C"/>
    <w:rsid w:val="00C16F5B"/>
    <w:rsid w:val="00C22B9C"/>
    <w:rsid w:val="00C22F50"/>
    <w:rsid w:val="00C30AC2"/>
    <w:rsid w:val="00C328A9"/>
    <w:rsid w:val="00C44DD9"/>
    <w:rsid w:val="00C54B29"/>
    <w:rsid w:val="00C722F5"/>
    <w:rsid w:val="00C72BE9"/>
    <w:rsid w:val="00C80B56"/>
    <w:rsid w:val="00C81BE0"/>
    <w:rsid w:val="00C8785E"/>
    <w:rsid w:val="00C91D69"/>
    <w:rsid w:val="00CA6260"/>
    <w:rsid w:val="00CB0058"/>
    <w:rsid w:val="00CB1023"/>
    <w:rsid w:val="00CC14DD"/>
    <w:rsid w:val="00CC4BAC"/>
    <w:rsid w:val="00CD0525"/>
    <w:rsid w:val="00CD2AB7"/>
    <w:rsid w:val="00CD3955"/>
    <w:rsid w:val="00CE2203"/>
    <w:rsid w:val="00CE4DAA"/>
    <w:rsid w:val="00CF169A"/>
    <w:rsid w:val="00CF1E78"/>
    <w:rsid w:val="00CF655B"/>
    <w:rsid w:val="00D017F9"/>
    <w:rsid w:val="00D122C9"/>
    <w:rsid w:val="00D26C2D"/>
    <w:rsid w:val="00D27FD9"/>
    <w:rsid w:val="00D31059"/>
    <w:rsid w:val="00D34DCA"/>
    <w:rsid w:val="00D355C4"/>
    <w:rsid w:val="00D36ED2"/>
    <w:rsid w:val="00D465E2"/>
    <w:rsid w:val="00D470EE"/>
    <w:rsid w:val="00D47BDD"/>
    <w:rsid w:val="00D62EB0"/>
    <w:rsid w:val="00D63B1B"/>
    <w:rsid w:val="00D64EC4"/>
    <w:rsid w:val="00D71D6D"/>
    <w:rsid w:val="00D72813"/>
    <w:rsid w:val="00D7319A"/>
    <w:rsid w:val="00D76CE6"/>
    <w:rsid w:val="00D77E01"/>
    <w:rsid w:val="00D77F87"/>
    <w:rsid w:val="00D864AA"/>
    <w:rsid w:val="00D87785"/>
    <w:rsid w:val="00D877B5"/>
    <w:rsid w:val="00D90DF0"/>
    <w:rsid w:val="00D97262"/>
    <w:rsid w:val="00DB5E8A"/>
    <w:rsid w:val="00DB79AD"/>
    <w:rsid w:val="00DC11F6"/>
    <w:rsid w:val="00DE35F3"/>
    <w:rsid w:val="00DF21A5"/>
    <w:rsid w:val="00DF336A"/>
    <w:rsid w:val="00E024D7"/>
    <w:rsid w:val="00E03AD8"/>
    <w:rsid w:val="00E03F38"/>
    <w:rsid w:val="00E0463D"/>
    <w:rsid w:val="00E047A7"/>
    <w:rsid w:val="00E109F5"/>
    <w:rsid w:val="00E17E38"/>
    <w:rsid w:val="00E40F61"/>
    <w:rsid w:val="00E61C50"/>
    <w:rsid w:val="00E648E7"/>
    <w:rsid w:val="00E67E7E"/>
    <w:rsid w:val="00E734EA"/>
    <w:rsid w:val="00E77049"/>
    <w:rsid w:val="00E80CAE"/>
    <w:rsid w:val="00E85285"/>
    <w:rsid w:val="00E858F7"/>
    <w:rsid w:val="00E861B5"/>
    <w:rsid w:val="00EA2CEA"/>
    <w:rsid w:val="00EA6FFA"/>
    <w:rsid w:val="00EB6536"/>
    <w:rsid w:val="00EB75ED"/>
    <w:rsid w:val="00EC02C8"/>
    <w:rsid w:val="00EC0777"/>
    <w:rsid w:val="00EC336F"/>
    <w:rsid w:val="00EC66BE"/>
    <w:rsid w:val="00EE2738"/>
    <w:rsid w:val="00EE6945"/>
    <w:rsid w:val="00EE74CE"/>
    <w:rsid w:val="00EE7F27"/>
    <w:rsid w:val="00EF0B0D"/>
    <w:rsid w:val="00EF2AA4"/>
    <w:rsid w:val="00F030E2"/>
    <w:rsid w:val="00F06037"/>
    <w:rsid w:val="00F10145"/>
    <w:rsid w:val="00F119C3"/>
    <w:rsid w:val="00F125C0"/>
    <w:rsid w:val="00F22F87"/>
    <w:rsid w:val="00F24B36"/>
    <w:rsid w:val="00F251AD"/>
    <w:rsid w:val="00F30934"/>
    <w:rsid w:val="00F33DEA"/>
    <w:rsid w:val="00F34352"/>
    <w:rsid w:val="00F423A5"/>
    <w:rsid w:val="00F506C7"/>
    <w:rsid w:val="00F53DC6"/>
    <w:rsid w:val="00F577A8"/>
    <w:rsid w:val="00F66F62"/>
    <w:rsid w:val="00F75D0A"/>
    <w:rsid w:val="00F76326"/>
    <w:rsid w:val="00F82CEB"/>
    <w:rsid w:val="00F84856"/>
    <w:rsid w:val="00F866AB"/>
    <w:rsid w:val="00F86C9C"/>
    <w:rsid w:val="00F92607"/>
    <w:rsid w:val="00FA3426"/>
    <w:rsid w:val="00FA751C"/>
    <w:rsid w:val="00FB0FB2"/>
    <w:rsid w:val="00FB2E38"/>
    <w:rsid w:val="00FB3A25"/>
    <w:rsid w:val="00FC2B5D"/>
    <w:rsid w:val="00FD17BB"/>
    <w:rsid w:val="00FD3277"/>
    <w:rsid w:val="00FD45E5"/>
    <w:rsid w:val="00FE104B"/>
    <w:rsid w:val="00FE5CEB"/>
    <w:rsid w:val="00FF1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E57EC"/>
  <w15:docId w15:val="{07F6AA07-2627-4A0B-AC2F-9EAFEE3E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A4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0A4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aliases w:val="Annexure,List Paragraph1"/>
    <w:basedOn w:val="Normal"/>
    <w:uiPriority w:val="34"/>
    <w:qFormat/>
    <w:rsid w:val="003529B7"/>
    <w:pPr>
      <w:ind w:left="720"/>
      <w:contextualSpacing/>
    </w:pPr>
    <w:rPr>
      <w:sz w:val="20"/>
      <w:szCs w:val="20"/>
    </w:rPr>
  </w:style>
  <w:style w:type="paragraph" w:customStyle="1" w:styleId="NumberedParagraph">
    <w:name w:val="Numbered Paragraph"/>
    <w:link w:val="NumberedParagraphChar"/>
    <w:rsid w:val="003529B7"/>
    <w:pPr>
      <w:numPr>
        <w:numId w:val="1"/>
      </w:numPr>
      <w:spacing w:before="240" w:after="0" w:line="240" w:lineRule="auto"/>
    </w:pPr>
    <w:rPr>
      <w:rFonts w:ascii="Times New Roman" w:eastAsia="Times New Roman" w:hAnsi="Times New Roman" w:cs="Times New Roman"/>
      <w:sz w:val="24"/>
      <w:szCs w:val="24"/>
    </w:rPr>
  </w:style>
  <w:style w:type="character" w:customStyle="1" w:styleId="NumberedParagraphChar">
    <w:name w:val="Numbered Paragraph Char"/>
    <w:link w:val="NumberedParagraph"/>
    <w:rsid w:val="003529B7"/>
    <w:rPr>
      <w:rFonts w:ascii="Times New Roman" w:eastAsia="Times New Roman" w:hAnsi="Times New Roman" w:cs="Times New Roman"/>
      <w:sz w:val="24"/>
      <w:szCs w:val="24"/>
    </w:rPr>
  </w:style>
  <w:style w:type="paragraph" w:customStyle="1" w:styleId="B2">
    <w:name w:val="B2"/>
    <w:rsid w:val="003529B7"/>
    <w:pPr>
      <w:widowControl w:val="0"/>
      <w:tabs>
        <w:tab w:val="left" w:pos="1080"/>
      </w:tabs>
      <w:autoSpaceDE w:val="0"/>
      <w:autoSpaceDN w:val="0"/>
      <w:adjustRightInd w:val="0"/>
      <w:spacing w:before="240" w:after="0" w:line="240" w:lineRule="auto"/>
      <w:ind w:left="720" w:hanging="36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48E7"/>
    <w:rPr>
      <w:color w:val="0000FF" w:themeColor="hyperlink"/>
      <w:u w:val="single"/>
    </w:rPr>
  </w:style>
  <w:style w:type="table" w:styleId="TableGrid">
    <w:name w:val="Table Grid"/>
    <w:basedOn w:val="TableNormal"/>
    <w:uiPriority w:val="39"/>
    <w:rsid w:val="00283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119C3"/>
    <w:rPr>
      <w:color w:val="800080" w:themeColor="followedHyperlink"/>
      <w:u w:val="single"/>
    </w:rPr>
  </w:style>
  <w:style w:type="paragraph" w:styleId="BalloonText">
    <w:name w:val="Balloon Text"/>
    <w:basedOn w:val="Normal"/>
    <w:link w:val="BalloonTextChar"/>
    <w:uiPriority w:val="99"/>
    <w:semiHidden/>
    <w:unhideWhenUsed/>
    <w:rsid w:val="00F119C3"/>
    <w:rPr>
      <w:rFonts w:ascii="Tahoma" w:hAnsi="Tahoma" w:cs="Tahoma"/>
      <w:sz w:val="16"/>
      <w:szCs w:val="16"/>
    </w:rPr>
  </w:style>
  <w:style w:type="character" w:customStyle="1" w:styleId="BalloonTextChar">
    <w:name w:val="Balloon Text Char"/>
    <w:basedOn w:val="DefaultParagraphFont"/>
    <w:link w:val="BalloonText"/>
    <w:uiPriority w:val="99"/>
    <w:semiHidden/>
    <w:rsid w:val="00F119C3"/>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9D3430"/>
    <w:rPr>
      <w:sz w:val="16"/>
      <w:szCs w:val="16"/>
    </w:rPr>
  </w:style>
  <w:style w:type="paragraph" w:styleId="CommentText">
    <w:name w:val="annotation text"/>
    <w:basedOn w:val="Normal"/>
    <w:link w:val="CommentTextChar"/>
    <w:uiPriority w:val="99"/>
    <w:semiHidden/>
    <w:unhideWhenUsed/>
    <w:rsid w:val="009D3430"/>
    <w:rPr>
      <w:sz w:val="20"/>
      <w:szCs w:val="20"/>
    </w:rPr>
  </w:style>
  <w:style w:type="character" w:customStyle="1" w:styleId="CommentTextChar">
    <w:name w:val="Comment Text Char"/>
    <w:basedOn w:val="DefaultParagraphFont"/>
    <w:link w:val="CommentText"/>
    <w:uiPriority w:val="99"/>
    <w:semiHidden/>
    <w:rsid w:val="009D343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D3430"/>
    <w:rPr>
      <w:b/>
      <w:bCs/>
    </w:rPr>
  </w:style>
  <w:style w:type="character" w:customStyle="1" w:styleId="CommentSubjectChar">
    <w:name w:val="Comment Subject Char"/>
    <w:basedOn w:val="CommentTextChar"/>
    <w:link w:val="CommentSubject"/>
    <w:uiPriority w:val="99"/>
    <w:semiHidden/>
    <w:rsid w:val="009D3430"/>
    <w:rPr>
      <w:rFonts w:ascii="Times New Roman" w:eastAsia="Times New Roman" w:hAnsi="Times New Roman" w:cs="Times New Roman"/>
      <w:b/>
      <w:bCs/>
      <w:sz w:val="20"/>
      <w:szCs w:val="20"/>
    </w:rPr>
  </w:style>
  <w:style w:type="paragraph" w:customStyle="1" w:styleId="ocNum4th1">
    <w:name w:val="oc_Num_4th 1"/>
    <w:basedOn w:val="Normal"/>
    <w:next w:val="BodyText"/>
    <w:rsid w:val="00B92915"/>
    <w:pPr>
      <w:numPr>
        <w:ilvl w:val="1"/>
        <w:numId w:val="19"/>
      </w:numPr>
      <w:jc w:val="both"/>
      <w:outlineLvl w:val="0"/>
    </w:pPr>
    <w:rPr>
      <w:rFonts w:eastAsia="SimSun"/>
      <w:sz w:val="20"/>
      <w:lang w:val="en-GB" w:eastAsia="zh-CN" w:bidi="he-IL"/>
    </w:rPr>
  </w:style>
  <w:style w:type="paragraph" w:customStyle="1" w:styleId="ocNum4th2">
    <w:name w:val="oc_Num_4th 2"/>
    <w:basedOn w:val="Normal"/>
    <w:next w:val="Normal"/>
    <w:rsid w:val="00B92915"/>
    <w:pPr>
      <w:numPr>
        <w:ilvl w:val="2"/>
        <w:numId w:val="19"/>
      </w:numPr>
      <w:jc w:val="both"/>
      <w:outlineLvl w:val="1"/>
    </w:pPr>
    <w:rPr>
      <w:rFonts w:eastAsia="SimSun"/>
      <w:sz w:val="20"/>
      <w:lang w:val="en-GB" w:eastAsia="zh-CN" w:bidi="he-IL"/>
    </w:rPr>
  </w:style>
  <w:style w:type="paragraph" w:customStyle="1" w:styleId="ocNum4th3">
    <w:name w:val="oc_Num_4th 3"/>
    <w:basedOn w:val="Normal"/>
    <w:next w:val="Normal"/>
    <w:rsid w:val="00B92915"/>
    <w:pPr>
      <w:numPr>
        <w:ilvl w:val="3"/>
        <w:numId w:val="19"/>
      </w:numPr>
      <w:ind w:hanging="680"/>
      <w:jc w:val="both"/>
      <w:outlineLvl w:val="2"/>
    </w:pPr>
    <w:rPr>
      <w:rFonts w:eastAsia="SimSun"/>
      <w:sz w:val="20"/>
      <w:lang w:val="en-GB" w:eastAsia="zh-CN" w:bidi="he-IL"/>
    </w:rPr>
  </w:style>
  <w:style w:type="paragraph" w:customStyle="1" w:styleId="ocNum4th4">
    <w:name w:val="oc_Num_4th 4"/>
    <w:basedOn w:val="Normal"/>
    <w:next w:val="Normal"/>
    <w:rsid w:val="00B92915"/>
    <w:pPr>
      <w:numPr>
        <w:ilvl w:val="4"/>
        <w:numId w:val="19"/>
      </w:numPr>
      <w:jc w:val="both"/>
      <w:outlineLvl w:val="3"/>
    </w:pPr>
    <w:rPr>
      <w:rFonts w:eastAsia="SimSun"/>
      <w:sz w:val="20"/>
      <w:lang w:val="en-GB" w:eastAsia="zh-CN" w:bidi="he-IL"/>
    </w:rPr>
  </w:style>
  <w:style w:type="paragraph" w:customStyle="1" w:styleId="ocNum4th5">
    <w:name w:val="oc_Num_4th 5"/>
    <w:basedOn w:val="Normal"/>
    <w:next w:val="BodyText2"/>
    <w:rsid w:val="00B92915"/>
    <w:pPr>
      <w:numPr>
        <w:ilvl w:val="5"/>
        <w:numId w:val="19"/>
      </w:numPr>
      <w:jc w:val="both"/>
      <w:outlineLvl w:val="4"/>
    </w:pPr>
    <w:rPr>
      <w:rFonts w:eastAsia="SimSun"/>
      <w:sz w:val="20"/>
      <w:lang w:val="en-GB" w:eastAsia="zh-CN" w:bidi="he-IL"/>
    </w:rPr>
  </w:style>
  <w:style w:type="paragraph" w:customStyle="1" w:styleId="ocNum4th6">
    <w:name w:val="oc_Num_4th 6"/>
    <w:basedOn w:val="Normal"/>
    <w:next w:val="BodyText3"/>
    <w:rsid w:val="00B92915"/>
    <w:pPr>
      <w:numPr>
        <w:ilvl w:val="6"/>
        <w:numId w:val="19"/>
      </w:numPr>
      <w:jc w:val="both"/>
      <w:outlineLvl w:val="5"/>
    </w:pPr>
    <w:rPr>
      <w:rFonts w:eastAsia="SimSun"/>
      <w:sz w:val="20"/>
      <w:lang w:val="en-GB" w:eastAsia="zh-CN" w:bidi="he-IL"/>
    </w:rPr>
  </w:style>
  <w:style w:type="paragraph" w:customStyle="1" w:styleId="ocNum4th7">
    <w:name w:val="oc_Num_4th 7"/>
    <w:basedOn w:val="Normal"/>
    <w:next w:val="Normal"/>
    <w:rsid w:val="00B92915"/>
    <w:pPr>
      <w:numPr>
        <w:ilvl w:val="7"/>
        <w:numId w:val="19"/>
      </w:numPr>
      <w:jc w:val="both"/>
      <w:outlineLvl w:val="6"/>
    </w:pPr>
    <w:rPr>
      <w:rFonts w:eastAsia="SimSun"/>
      <w:sz w:val="20"/>
      <w:lang w:val="en-GB" w:eastAsia="zh-CN" w:bidi="he-IL"/>
    </w:rPr>
  </w:style>
  <w:style w:type="paragraph" w:customStyle="1" w:styleId="ocNum4th8">
    <w:name w:val="oc_Num_4th 8"/>
    <w:basedOn w:val="Normal"/>
    <w:next w:val="Normal"/>
    <w:rsid w:val="00B92915"/>
    <w:pPr>
      <w:numPr>
        <w:ilvl w:val="8"/>
        <w:numId w:val="19"/>
      </w:numPr>
      <w:ind w:left="3402" w:hanging="680"/>
      <w:jc w:val="both"/>
      <w:outlineLvl w:val="7"/>
    </w:pPr>
    <w:rPr>
      <w:rFonts w:eastAsia="SimSun"/>
      <w:sz w:val="20"/>
      <w:lang w:val="en-GB" w:eastAsia="zh-CN" w:bidi="he-IL"/>
    </w:rPr>
  </w:style>
  <w:style w:type="paragraph" w:styleId="BodyText">
    <w:name w:val="Body Text"/>
    <w:basedOn w:val="Normal"/>
    <w:link w:val="BodyTextChar"/>
    <w:uiPriority w:val="99"/>
    <w:semiHidden/>
    <w:unhideWhenUsed/>
    <w:rsid w:val="00B92915"/>
    <w:pPr>
      <w:spacing w:after="120"/>
    </w:pPr>
  </w:style>
  <w:style w:type="character" w:customStyle="1" w:styleId="BodyTextChar">
    <w:name w:val="Body Text Char"/>
    <w:basedOn w:val="DefaultParagraphFont"/>
    <w:link w:val="BodyText"/>
    <w:uiPriority w:val="99"/>
    <w:semiHidden/>
    <w:rsid w:val="00B92915"/>
    <w:rPr>
      <w:rFonts w:ascii="Times New Roman" w:eastAsia="Times New Roman" w:hAnsi="Times New Roman" w:cs="Times New Roman"/>
      <w:sz w:val="24"/>
      <w:szCs w:val="24"/>
    </w:rPr>
  </w:style>
  <w:style w:type="paragraph" w:styleId="BodyText2">
    <w:name w:val="Body Text 2"/>
    <w:basedOn w:val="Normal"/>
    <w:link w:val="BodyText2Char"/>
    <w:uiPriority w:val="99"/>
    <w:semiHidden/>
    <w:unhideWhenUsed/>
    <w:rsid w:val="00B92915"/>
    <w:pPr>
      <w:spacing w:after="120" w:line="480" w:lineRule="auto"/>
    </w:pPr>
  </w:style>
  <w:style w:type="character" w:customStyle="1" w:styleId="BodyText2Char">
    <w:name w:val="Body Text 2 Char"/>
    <w:basedOn w:val="DefaultParagraphFont"/>
    <w:link w:val="BodyText2"/>
    <w:uiPriority w:val="99"/>
    <w:semiHidden/>
    <w:rsid w:val="00B92915"/>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B92915"/>
    <w:pPr>
      <w:spacing w:after="120"/>
    </w:pPr>
    <w:rPr>
      <w:sz w:val="16"/>
      <w:szCs w:val="16"/>
    </w:rPr>
  </w:style>
  <w:style w:type="character" w:customStyle="1" w:styleId="BodyText3Char">
    <w:name w:val="Body Text 3 Char"/>
    <w:basedOn w:val="DefaultParagraphFont"/>
    <w:link w:val="BodyText3"/>
    <w:uiPriority w:val="99"/>
    <w:semiHidden/>
    <w:rsid w:val="00B92915"/>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0A76C5"/>
    <w:pPr>
      <w:tabs>
        <w:tab w:val="center" w:pos="4680"/>
        <w:tab w:val="right" w:pos="9360"/>
      </w:tabs>
    </w:pPr>
  </w:style>
  <w:style w:type="character" w:customStyle="1" w:styleId="HeaderChar">
    <w:name w:val="Header Char"/>
    <w:basedOn w:val="DefaultParagraphFont"/>
    <w:link w:val="Header"/>
    <w:uiPriority w:val="99"/>
    <w:rsid w:val="000A76C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A76C5"/>
    <w:pPr>
      <w:tabs>
        <w:tab w:val="center" w:pos="4680"/>
        <w:tab w:val="right" w:pos="9360"/>
      </w:tabs>
    </w:pPr>
  </w:style>
  <w:style w:type="character" w:customStyle="1" w:styleId="FooterChar">
    <w:name w:val="Footer Char"/>
    <w:basedOn w:val="DefaultParagraphFont"/>
    <w:link w:val="Footer"/>
    <w:uiPriority w:val="99"/>
    <w:rsid w:val="000A76C5"/>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803A7E"/>
    <w:rPr>
      <w:i/>
      <w:iCs/>
    </w:rPr>
  </w:style>
  <w:style w:type="character" w:styleId="UnresolvedMention">
    <w:name w:val="Unresolved Mention"/>
    <w:basedOn w:val="DefaultParagraphFont"/>
    <w:uiPriority w:val="99"/>
    <w:semiHidden/>
    <w:unhideWhenUsed/>
    <w:rsid w:val="00F50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26236">
      <w:bodyDiv w:val="1"/>
      <w:marLeft w:val="0"/>
      <w:marRight w:val="0"/>
      <w:marTop w:val="0"/>
      <w:marBottom w:val="0"/>
      <w:divBdr>
        <w:top w:val="none" w:sz="0" w:space="0" w:color="auto"/>
        <w:left w:val="none" w:sz="0" w:space="0" w:color="auto"/>
        <w:bottom w:val="none" w:sz="0" w:space="0" w:color="auto"/>
        <w:right w:val="none" w:sz="0" w:space="0" w:color="auto"/>
      </w:divBdr>
    </w:div>
    <w:div w:id="591546819">
      <w:bodyDiv w:val="1"/>
      <w:marLeft w:val="0"/>
      <w:marRight w:val="0"/>
      <w:marTop w:val="0"/>
      <w:marBottom w:val="0"/>
      <w:divBdr>
        <w:top w:val="none" w:sz="0" w:space="0" w:color="auto"/>
        <w:left w:val="none" w:sz="0" w:space="0" w:color="auto"/>
        <w:bottom w:val="none" w:sz="0" w:space="0" w:color="auto"/>
        <w:right w:val="none" w:sz="0" w:space="0" w:color="auto"/>
      </w:divBdr>
    </w:div>
    <w:div w:id="1046953559">
      <w:bodyDiv w:val="1"/>
      <w:marLeft w:val="0"/>
      <w:marRight w:val="0"/>
      <w:marTop w:val="0"/>
      <w:marBottom w:val="0"/>
      <w:divBdr>
        <w:top w:val="none" w:sz="0" w:space="0" w:color="auto"/>
        <w:left w:val="none" w:sz="0" w:space="0" w:color="auto"/>
        <w:bottom w:val="none" w:sz="0" w:space="0" w:color="auto"/>
        <w:right w:val="none" w:sz="0" w:space="0" w:color="auto"/>
      </w:divBdr>
    </w:div>
    <w:div w:id="1170566277">
      <w:bodyDiv w:val="1"/>
      <w:marLeft w:val="0"/>
      <w:marRight w:val="0"/>
      <w:marTop w:val="0"/>
      <w:marBottom w:val="0"/>
      <w:divBdr>
        <w:top w:val="none" w:sz="0" w:space="0" w:color="auto"/>
        <w:left w:val="none" w:sz="0" w:space="0" w:color="auto"/>
        <w:bottom w:val="none" w:sz="0" w:space="0" w:color="auto"/>
        <w:right w:val="none" w:sz="0" w:space="0" w:color="auto"/>
      </w:divBdr>
    </w:div>
    <w:div w:id="1203245537">
      <w:bodyDiv w:val="1"/>
      <w:marLeft w:val="0"/>
      <w:marRight w:val="0"/>
      <w:marTop w:val="0"/>
      <w:marBottom w:val="0"/>
      <w:divBdr>
        <w:top w:val="none" w:sz="0" w:space="0" w:color="auto"/>
        <w:left w:val="none" w:sz="0" w:space="0" w:color="auto"/>
        <w:bottom w:val="none" w:sz="0" w:space="0" w:color="auto"/>
        <w:right w:val="none" w:sz="0" w:space="0" w:color="auto"/>
      </w:divBdr>
      <w:divsChild>
        <w:div w:id="1874688584">
          <w:marLeft w:val="0"/>
          <w:marRight w:val="0"/>
          <w:marTop w:val="0"/>
          <w:marBottom w:val="0"/>
          <w:divBdr>
            <w:top w:val="none" w:sz="0" w:space="0" w:color="auto"/>
            <w:left w:val="none" w:sz="0" w:space="0" w:color="auto"/>
            <w:bottom w:val="none" w:sz="0" w:space="0" w:color="auto"/>
            <w:right w:val="none" w:sz="0" w:space="0" w:color="auto"/>
          </w:divBdr>
        </w:div>
      </w:divsChild>
    </w:div>
    <w:div w:id="1212227542">
      <w:bodyDiv w:val="1"/>
      <w:marLeft w:val="0"/>
      <w:marRight w:val="0"/>
      <w:marTop w:val="0"/>
      <w:marBottom w:val="0"/>
      <w:divBdr>
        <w:top w:val="none" w:sz="0" w:space="0" w:color="auto"/>
        <w:left w:val="none" w:sz="0" w:space="0" w:color="auto"/>
        <w:bottom w:val="none" w:sz="0" w:space="0" w:color="auto"/>
        <w:right w:val="none" w:sz="0" w:space="0" w:color="auto"/>
      </w:divBdr>
    </w:div>
    <w:div w:id="1667050789">
      <w:bodyDiv w:val="1"/>
      <w:marLeft w:val="0"/>
      <w:marRight w:val="0"/>
      <w:marTop w:val="0"/>
      <w:marBottom w:val="0"/>
      <w:divBdr>
        <w:top w:val="none" w:sz="0" w:space="0" w:color="auto"/>
        <w:left w:val="none" w:sz="0" w:space="0" w:color="auto"/>
        <w:bottom w:val="none" w:sz="0" w:space="0" w:color="auto"/>
        <w:right w:val="none" w:sz="0" w:space="0" w:color="auto"/>
      </w:divBdr>
    </w:div>
    <w:div w:id="1715500048">
      <w:bodyDiv w:val="1"/>
      <w:marLeft w:val="0"/>
      <w:marRight w:val="0"/>
      <w:marTop w:val="0"/>
      <w:marBottom w:val="0"/>
      <w:divBdr>
        <w:top w:val="none" w:sz="0" w:space="0" w:color="auto"/>
        <w:left w:val="none" w:sz="0" w:space="0" w:color="auto"/>
        <w:bottom w:val="none" w:sz="0" w:space="0" w:color="auto"/>
        <w:right w:val="none" w:sz="0" w:space="0" w:color="auto"/>
      </w:divBdr>
    </w:div>
    <w:div w:id="1778135833">
      <w:bodyDiv w:val="1"/>
      <w:marLeft w:val="0"/>
      <w:marRight w:val="0"/>
      <w:marTop w:val="0"/>
      <w:marBottom w:val="0"/>
      <w:divBdr>
        <w:top w:val="none" w:sz="0" w:space="0" w:color="auto"/>
        <w:left w:val="none" w:sz="0" w:space="0" w:color="auto"/>
        <w:bottom w:val="none" w:sz="0" w:space="0" w:color="auto"/>
        <w:right w:val="none" w:sz="0" w:space="0" w:color="auto"/>
      </w:divBdr>
    </w:div>
    <w:div w:id="1779909887">
      <w:bodyDiv w:val="1"/>
      <w:marLeft w:val="0"/>
      <w:marRight w:val="0"/>
      <w:marTop w:val="0"/>
      <w:marBottom w:val="0"/>
      <w:divBdr>
        <w:top w:val="none" w:sz="0" w:space="0" w:color="auto"/>
        <w:left w:val="none" w:sz="0" w:space="0" w:color="auto"/>
        <w:bottom w:val="none" w:sz="0" w:space="0" w:color="auto"/>
        <w:right w:val="none" w:sz="0" w:space="0" w:color="auto"/>
      </w:divBdr>
    </w:div>
    <w:div w:id="1948153398">
      <w:bodyDiv w:val="1"/>
      <w:marLeft w:val="0"/>
      <w:marRight w:val="0"/>
      <w:marTop w:val="0"/>
      <w:marBottom w:val="0"/>
      <w:divBdr>
        <w:top w:val="none" w:sz="0" w:space="0" w:color="auto"/>
        <w:left w:val="none" w:sz="0" w:space="0" w:color="auto"/>
        <w:bottom w:val="none" w:sz="0" w:space="0" w:color="auto"/>
        <w:right w:val="none" w:sz="0" w:space="0" w:color="auto"/>
      </w:divBdr>
    </w:div>
    <w:div w:id="200084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picgroup.global" TargetMode="External"/><Relationship Id="rId5" Type="http://schemas.openxmlformats.org/officeDocument/2006/relationships/settings" Target="settings.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AEMSEngagementItemInfo xmlns="http://schemas.microsoft.com/DAEMSEngagementItemInfoXML">
  <EngagementID>5000209955</EngagementID>
  <LogicalEMSServerID>4553756098282626098</LogicalEMSServerID>
  <WorkingPaperID>3141298252100000032</WorkingPaperID>
</DAEMSEngagementItemInfo>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8FE28A-BA7B-4DB0-8B67-43C9A3CE6315}">
  <ds:schemaRefs>
    <ds:schemaRef ds:uri="http://schemas.microsoft.com/DAEMSEngagementItemInfoXML"/>
  </ds:schemaRefs>
</ds:datastoreItem>
</file>

<file path=customXml/itemProps2.xml><?xml version="1.0" encoding="utf-8"?>
<ds:datastoreItem xmlns:ds="http://schemas.openxmlformats.org/officeDocument/2006/customXml" ds:itemID="{F24F53F2-DC04-4FD3-9D32-B801337A9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1920</Words>
  <Characters>10946</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Banerjee, Anirban (IN - Kolkata)</dc:creator>
  <cp:lastModifiedBy>Rashid, Imtiaz</cp:lastModifiedBy>
  <cp:revision>2</cp:revision>
  <cp:lastPrinted>2020-01-20T12:11:00Z</cp:lastPrinted>
  <dcterms:created xsi:type="dcterms:W3CDTF">2022-12-14T05:19:00Z</dcterms:created>
  <dcterms:modified xsi:type="dcterms:W3CDTF">2022-12-14T05:19:00Z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2022-01-31T17:35:40Z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1dd6dddc-1d88-4fda-8c58-1be43cac1a53</vt:lpwstr>
  </property>
  <property fmtid="{D5CDD505-2E9C-101B-9397-08002B2CF9AE}" pid="8" name="MSIP_Label_ea60d57e-af5b-4752-ac57-3e4f28ca11dc_ContentBits">
    <vt:lpwstr>0</vt:lpwstr>
  </property>
</Properties>
</file>