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2941B75D"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2020</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4C5C1377" w:rsidR="00B3170C" w:rsidRPr="0035005A" w:rsidRDefault="006B6546" w:rsidP="003F7E94">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lang w:val="en-GB"/>
              </w:rPr>
              <w:t>Green Textile Limited (GTL)</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B9155" w14:textId="77777777" w:rsidR="00505AFC" w:rsidRDefault="00505AFC">
      <w:r>
        <w:separator/>
      </w:r>
    </w:p>
  </w:endnote>
  <w:endnote w:type="continuationSeparator" w:id="0">
    <w:p w14:paraId="78E54FE0" w14:textId="77777777" w:rsidR="00505AFC" w:rsidRDefault="0050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58FB" w14:textId="77777777" w:rsidR="00505AFC" w:rsidRDefault="00505AFC">
      <w:r>
        <w:separator/>
      </w:r>
    </w:p>
  </w:footnote>
  <w:footnote w:type="continuationSeparator" w:id="0">
    <w:p w14:paraId="59F663FF" w14:textId="77777777" w:rsidR="00505AFC" w:rsidRDefault="00505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B6546"/>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10.xml><?xml version="1.0" encoding="utf-8"?>
<ds:datastoreItem xmlns:ds="http://schemas.openxmlformats.org/officeDocument/2006/customXml" ds:itemID="{5945EE65-0921-4325-8797-625F6A1CF20C}"/>
</file>

<file path=customXml/itemProps2.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3.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4.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5.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6.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7.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8.xml><?xml version="1.0" encoding="utf-8"?>
<ds:datastoreItem xmlns:ds="http://schemas.openxmlformats.org/officeDocument/2006/customXml" ds:itemID="{43FEF054-5793-4DA9-9C71-0B6560E86247}"/>
</file>

<file path=customXml/itemProps9.xml><?xml version="1.0" encoding="utf-8"?>
<ds:datastoreItem xmlns:ds="http://schemas.openxmlformats.org/officeDocument/2006/customXml" ds:itemID="{D7E16233-FADE-44FE-B306-3F7DCBDE0863}"/>
</file>

<file path=docProps/app.xml><?xml version="1.0" encoding="utf-8"?>
<Properties xmlns="http://schemas.openxmlformats.org/officeDocument/2006/extended-properties" xmlns:vt="http://schemas.openxmlformats.org/officeDocument/2006/docPropsVTypes">
  <Template>NFO items</Template>
  <TotalTime>1</TotalTime>
  <Pages>1</Pages>
  <Words>124</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Ferdouse, Jannatul</cp:lastModifiedBy>
  <cp:revision>2</cp:revision>
  <cp:lastPrinted>2011-04-18T16:24:00Z</cp:lastPrinted>
  <dcterms:created xsi:type="dcterms:W3CDTF">2021-09-20T10:22:00Z</dcterms:created>
  <dcterms:modified xsi:type="dcterms:W3CDTF">2021-09-20T10:22:00Z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