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6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7"/>
        <w:gridCol w:w="5038"/>
        <w:gridCol w:w="1079"/>
        <w:gridCol w:w="277"/>
        <w:gridCol w:w="1434"/>
      </w:tblGrid>
      <w:tr w:rsidR="00BF15F4" w14:paraId="3252CBDA" w14:textId="77777777" w:rsidTr="003406A0">
        <w:tc>
          <w:tcPr>
            <w:tcW w:w="2155" w:type="dxa"/>
          </w:tcPr>
          <w:p w14:paraId="24613218" w14:textId="7A6C7EF4" w:rsidR="00BF15F4" w:rsidRDefault="00BF15F4" w:rsidP="00881746">
            <w:pPr>
              <w:jc w:val="both"/>
              <w:rPr>
                <w:rFonts w:cstheme="minorHAnsi"/>
                <w:b/>
              </w:rPr>
            </w:pPr>
            <w:bookmarkStart w:id="0" w:name="_Hlk116540926"/>
            <w:r>
              <w:rPr>
                <w:rFonts w:cstheme="minorHAnsi"/>
                <w:b/>
              </w:rPr>
              <w:t xml:space="preserve">Client name </w:t>
            </w:r>
          </w:p>
        </w:tc>
        <w:tc>
          <w:tcPr>
            <w:tcW w:w="277" w:type="dxa"/>
          </w:tcPr>
          <w:p w14:paraId="3FCB864E" w14:textId="2F4F4529" w:rsidR="00BF15F4" w:rsidRPr="00BF15F4" w:rsidRDefault="00BF15F4" w:rsidP="00881746">
            <w:pPr>
              <w:jc w:val="both"/>
              <w:rPr>
                <w:rFonts w:cstheme="minorHAnsi"/>
                <w:bCs/>
              </w:rPr>
            </w:pPr>
            <w:r w:rsidRPr="00BF15F4">
              <w:rPr>
                <w:rFonts w:cstheme="minorHAnsi"/>
                <w:bCs/>
              </w:rPr>
              <w:t>:</w:t>
            </w:r>
          </w:p>
        </w:tc>
        <w:tc>
          <w:tcPr>
            <w:tcW w:w="7828" w:type="dxa"/>
            <w:gridSpan w:val="4"/>
          </w:tcPr>
          <w:p w14:paraId="11CAF62D" w14:textId="6049826B" w:rsidR="00BF15F4" w:rsidRPr="00BF15F4" w:rsidRDefault="00017516" w:rsidP="00881746">
            <w:pPr>
              <w:jc w:val="both"/>
              <w:rPr>
                <w:rFonts w:cstheme="minorHAnsi"/>
                <w:bCs/>
              </w:rPr>
            </w:pPr>
            <w:r>
              <w:rPr>
                <w:rFonts w:cstheme="minorHAnsi"/>
                <w:bCs/>
              </w:rPr>
              <w:t>Cosmopolitan Industries (Pvt.)</w:t>
            </w:r>
            <w:r w:rsidR="005270AC">
              <w:rPr>
                <w:rFonts w:cstheme="minorHAnsi"/>
                <w:bCs/>
              </w:rPr>
              <w:t xml:space="preserve"> Limi</w:t>
            </w:r>
            <w:r w:rsidR="00BF15F4" w:rsidRPr="00BF15F4">
              <w:rPr>
                <w:rFonts w:cstheme="minorHAnsi"/>
                <w:bCs/>
              </w:rPr>
              <w:t xml:space="preserve">ted </w:t>
            </w:r>
          </w:p>
        </w:tc>
      </w:tr>
      <w:tr w:rsidR="00BF15F4" w14:paraId="0017FBAB" w14:textId="77777777" w:rsidTr="003406A0">
        <w:tc>
          <w:tcPr>
            <w:tcW w:w="2155" w:type="dxa"/>
          </w:tcPr>
          <w:p w14:paraId="2D634A2E" w14:textId="19BD739C" w:rsidR="00BF15F4" w:rsidRDefault="00BF15F4" w:rsidP="00881746">
            <w:pPr>
              <w:jc w:val="both"/>
              <w:rPr>
                <w:rFonts w:cstheme="minorHAnsi"/>
                <w:b/>
              </w:rPr>
            </w:pPr>
            <w:r>
              <w:rPr>
                <w:rFonts w:cstheme="minorHAnsi"/>
                <w:b/>
              </w:rPr>
              <w:t>Accounting Period</w:t>
            </w:r>
          </w:p>
        </w:tc>
        <w:tc>
          <w:tcPr>
            <w:tcW w:w="277" w:type="dxa"/>
          </w:tcPr>
          <w:p w14:paraId="55219456" w14:textId="34729F77" w:rsidR="00BF15F4" w:rsidRPr="00BF15F4" w:rsidRDefault="00BF15F4" w:rsidP="00881746">
            <w:pPr>
              <w:jc w:val="both"/>
              <w:rPr>
                <w:rFonts w:cstheme="minorHAnsi"/>
                <w:bCs/>
              </w:rPr>
            </w:pPr>
            <w:r w:rsidRPr="00BF15F4">
              <w:rPr>
                <w:rFonts w:cstheme="minorHAnsi"/>
                <w:bCs/>
              </w:rPr>
              <w:t>:</w:t>
            </w:r>
          </w:p>
        </w:tc>
        <w:tc>
          <w:tcPr>
            <w:tcW w:w="7828" w:type="dxa"/>
            <w:gridSpan w:val="4"/>
          </w:tcPr>
          <w:p w14:paraId="1BE3754E" w14:textId="790328C3" w:rsidR="00BF15F4" w:rsidRDefault="00BF15F4" w:rsidP="00881746">
            <w:pPr>
              <w:jc w:val="both"/>
              <w:rPr>
                <w:rFonts w:cstheme="minorHAnsi"/>
                <w:b/>
              </w:rPr>
            </w:pPr>
            <w:r w:rsidRPr="004E6879">
              <w:rPr>
                <w:rFonts w:eastAsia="Times New Roman" w:cstheme="minorHAnsi"/>
                <w:color w:val="000000"/>
              </w:rPr>
              <w:t xml:space="preserve">01 </w:t>
            </w:r>
            <w:r w:rsidR="005270AC">
              <w:rPr>
                <w:rFonts w:eastAsia="Times New Roman" w:cstheme="minorHAnsi"/>
                <w:color w:val="000000"/>
              </w:rPr>
              <w:t>July</w:t>
            </w:r>
            <w:r w:rsidRPr="004E6879">
              <w:rPr>
                <w:rFonts w:eastAsia="Times New Roman" w:cstheme="minorHAnsi"/>
                <w:color w:val="000000"/>
              </w:rPr>
              <w:t xml:space="preserve"> 202</w:t>
            </w:r>
            <w:r>
              <w:rPr>
                <w:rFonts w:eastAsia="Times New Roman" w:cstheme="minorHAnsi"/>
                <w:color w:val="000000"/>
              </w:rPr>
              <w:t>1</w:t>
            </w:r>
            <w:r w:rsidRPr="004E6879">
              <w:rPr>
                <w:rFonts w:eastAsia="Times New Roman" w:cstheme="minorHAnsi"/>
                <w:color w:val="000000"/>
              </w:rPr>
              <w:t xml:space="preserve"> to 3</w:t>
            </w:r>
            <w:r w:rsidR="005270AC">
              <w:rPr>
                <w:rFonts w:eastAsia="Times New Roman" w:cstheme="minorHAnsi"/>
                <w:color w:val="000000"/>
              </w:rPr>
              <w:t>0</w:t>
            </w:r>
            <w:r w:rsidRPr="004E6879">
              <w:rPr>
                <w:rFonts w:eastAsia="Times New Roman" w:cstheme="minorHAnsi"/>
                <w:color w:val="000000"/>
              </w:rPr>
              <w:t xml:space="preserve"> </w:t>
            </w:r>
            <w:r w:rsidR="005270AC">
              <w:rPr>
                <w:rFonts w:eastAsia="Times New Roman" w:cstheme="minorHAnsi"/>
                <w:color w:val="000000"/>
              </w:rPr>
              <w:t>June</w:t>
            </w:r>
            <w:r w:rsidRPr="004E6879">
              <w:rPr>
                <w:rFonts w:eastAsia="Times New Roman" w:cstheme="minorHAnsi"/>
                <w:color w:val="000000"/>
              </w:rPr>
              <w:t xml:space="preserve"> 202</w:t>
            </w:r>
            <w:r>
              <w:rPr>
                <w:rFonts w:eastAsia="Times New Roman" w:cstheme="minorHAnsi"/>
                <w:color w:val="000000"/>
              </w:rPr>
              <w:t>2</w:t>
            </w:r>
          </w:p>
        </w:tc>
      </w:tr>
      <w:tr w:rsidR="00BF15F4" w14:paraId="341B5492" w14:textId="77777777" w:rsidTr="003406A0">
        <w:tc>
          <w:tcPr>
            <w:tcW w:w="2155" w:type="dxa"/>
          </w:tcPr>
          <w:p w14:paraId="331E89CB" w14:textId="1A29FEDB" w:rsidR="00BF15F4" w:rsidRDefault="00BF15F4" w:rsidP="00881746">
            <w:pPr>
              <w:jc w:val="both"/>
              <w:rPr>
                <w:rFonts w:cstheme="minorHAnsi"/>
                <w:b/>
              </w:rPr>
            </w:pPr>
            <w:r>
              <w:rPr>
                <w:rFonts w:cstheme="minorHAnsi"/>
                <w:b/>
              </w:rPr>
              <w:t xml:space="preserve">Subject </w:t>
            </w:r>
          </w:p>
        </w:tc>
        <w:tc>
          <w:tcPr>
            <w:tcW w:w="277" w:type="dxa"/>
          </w:tcPr>
          <w:p w14:paraId="3598ECD7" w14:textId="74E6A1AF" w:rsidR="00BF15F4" w:rsidRPr="00BF15F4" w:rsidRDefault="00BF15F4" w:rsidP="00881746">
            <w:pPr>
              <w:jc w:val="both"/>
              <w:rPr>
                <w:rFonts w:cstheme="minorHAnsi"/>
                <w:bCs/>
              </w:rPr>
            </w:pPr>
            <w:r w:rsidRPr="00BF15F4">
              <w:rPr>
                <w:rFonts w:cstheme="minorHAnsi"/>
                <w:bCs/>
              </w:rPr>
              <w:t>:</w:t>
            </w:r>
          </w:p>
        </w:tc>
        <w:tc>
          <w:tcPr>
            <w:tcW w:w="7828" w:type="dxa"/>
            <w:gridSpan w:val="4"/>
          </w:tcPr>
          <w:p w14:paraId="7CC88821" w14:textId="3FD31D8B" w:rsidR="00BF15F4" w:rsidRDefault="00BF15F4" w:rsidP="00BF15F4">
            <w:pPr>
              <w:rPr>
                <w:rFonts w:cstheme="minorHAnsi"/>
                <w:b/>
              </w:rPr>
            </w:pPr>
            <w:r w:rsidRPr="006D1E5C">
              <w:rPr>
                <w:rFonts w:eastAsia="Times New Roman" w:cstheme="minorHAnsi"/>
                <w:color w:val="000000"/>
              </w:rPr>
              <w:t xml:space="preserve">Memo on </w:t>
            </w:r>
            <w:r w:rsidR="008F0143">
              <w:rPr>
                <w:rFonts w:eastAsia="Times New Roman" w:cstheme="minorHAnsi"/>
                <w:color w:val="000000"/>
              </w:rPr>
              <w:t xml:space="preserve">Journal Entry Testing </w:t>
            </w:r>
          </w:p>
        </w:tc>
      </w:tr>
      <w:tr w:rsidR="00BF15F4" w14:paraId="54275B72" w14:textId="77777777" w:rsidTr="003406A0">
        <w:tc>
          <w:tcPr>
            <w:tcW w:w="2155" w:type="dxa"/>
          </w:tcPr>
          <w:p w14:paraId="1788452D" w14:textId="75CB3C8E" w:rsidR="00BF15F4" w:rsidRDefault="00BF15F4" w:rsidP="00BF15F4">
            <w:pPr>
              <w:jc w:val="both"/>
              <w:rPr>
                <w:rFonts w:cstheme="minorHAnsi"/>
                <w:b/>
              </w:rPr>
            </w:pPr>
            <w:r w:rsidRPr="004E6879">
              <w:rPr>
                <w:rFonts w:eastAsia="Times New Roman" w:cstheme="minorHAnsi"/>
                <w:b/>
                <w:bCs/>
                <w:color w:val="000000"/>
              </w:rPr>
              <w:t>Prepared by</w:t>
            </w:r>
          </w:p>
        </w:tc>
        <w:tc>
          <w:tcPr>
            <w:tcW w:w="277" w:type="dxa"/>
          </w:tcPr>
          <w:p w14:paraId="61D2848C" w14:textId="7B207A33" w:rsidR="00BF15F4" w:rsidRDefault="00BF15F4" w:rsidP="00BF15F4">
            <w:pPr>
              <w:jc w:val="both"/>
              <w:rPr>
                <w:rFonts w:cstheme="minorHAnsi"/>
                <w:b/>
              </w:rPr>
            </w:pPr>
            <w:r w:rsidRPr="00BF15F4">
              <w:rPr>
                <w:rFonts w:cstheme="minorHAnsi"/>
                <w:bCs/>
              </w:rPr>
              <w:t>:</w:t>
            </w:r>
          </w:p>
        </w:tc>
        <w:tc>
          <w:tcPr>
            <w:tcW w:w="5038" w:type="dxa"/>
          </w:tcPr>
          <w:p w14:paraId="6433C759" w14:textId="66ED917E" w:rsidR="00BF15F4" w:rsidRDefault="001752CE" w:rsidP="00BF15F4">
            <w:pPr>
              <w:jc w:val="both"/>
              <w:rPr>
                <w:rFonts w:cstheme="minorHAnsi"/>
                <w:b/>
              </w:rPr>
            </w:pPr>
            <w:r>
              <w:rPr>
                <w:rFonts w:eastAsia="Times New Roman" w:cstheme="minorHAnsi"/>
                <w:bCs/>
                <w:color w:val="000000"/>
              </w:rPr>
              <w:t>Imtiaz Rashid</w:t>
            </w:r>
            <w:r w:rsidR="00BF15F4">
              <w:rPr>
                <w:rFonts w:eastAsia="Times New Roman" w:cstheme="minorHAnsi"/>
                <w:bCs/>
                <w:color w:val="000000"/>
              </w:rPr>
              <w:t xml:space="preserve"> </w:t>
            </w:r>
          </w:p>
        </w:tc>
        <w:tc>
          <w:tcPr>
            <w:tcW w:w="1079" w:type="dxa"/>
          </w:tcPr>
          <w:p w14:paraId="31738F07" w14:textId="27E533AE" w:rsidR="00BF15F4" w:rsidRDefault="00BF15F4" w:rsidP="00BF15F4">
            <w:pPr>
              <w:jc w:val="both"/>
              <w:rPr>
                <w:rFonts w:cstheme="minorHAnsi"/>
                <w:b/>
              </w:rPr>
            </w:pPr>
            <w:r>
              <w:rPr>
                <w:rFonts w:cstheme="minorHAnsi"/>
                <w:b/>
              </w:rPr>
              <w:t xml:space="preserve">Date </w:t>
            </w:r>
          </w:p>
        </w:tc>
        <w:tc>
          <w:tcPr>
            <w:tcW w:w="277" w:type="dxa"/>
          </w:tcPr>
          <w:p w14:paraId="34B0F1D3" w14:textId="2DD9680C" w:rsidR="00BF15F4" w:rsidRPr="003406A0" w:rsidRDefault="00BF15F4" w:rsidP="00BF15F4">
            <w:pPr>
              <w:jc w:val="both"/>
              <w:rPr>
                <w:rFonts w:cstheme="minorHAnsi"/>
                <w:bCs/>
              </w:rPr>
            </w:pPr>
            <w:r w:rsidRPr="003406A0">
              <w:rPr>
                <w:rFonts w:cstheme="minorHAnsi"/>
                <w:bCs/>
              </w:rPr>
              <w:t>:</w:t>
            </w:r>
          </w:p>
        </w:tc>
        <w:tc>
          <w:tcPr>
            <w:tcW w:w="1434" w:type="dxa"/>
          </w:tcPr>
          <w:p w14:paraId="3942D663" w14:textId="6D0B47F3" w:rsidR="00BF15F4" w:rsidRPr="003406A0" w:rsidRDefault="00952AAF" w:rsidP="00BF15F4">
            <w:pPr>
              <w:jc w:val="both"/>
              <w:rPr>
                <w:rFonts w:cstheme="minorHAnsi"/>
                <w:bCs/>
              </w:rPr>
            </w:pPr>
            <w:r>
              <w:rPr>
                <w:rFonts w:cstheme="minorHAnsi"/>
                <w:bCs/>
              </w:rPr>
              <w:t>0</w:t>
            </w:r>
            <w:r w:rsidR="00A1687E">
              <w:rPr>
                <w:rFonts w:cstheme="minorHAnsi"/>
                <w:bCs/>
              </w:rPr>
              <w:t>5</w:t>
            </w:r>
            <w:r w:rsidR="003406A0" w:rsidRPr="003406A0">
              <w:rPr>
                <w:rFonts w:cstheme="minorHAnsi"/>
                <w:bCs/>
              </w:rPr>
              <w:t xml:space="preserve"> </w:t>
            </w:r>
            <w:r w:rsidR="005270AC">
              <w:rPr>
                <w:rFonts w:cstheme="minorHAnsi"/>
                <w:bCs/>
              </w:rPr>
              <w:t>Nov</w:t>
            </w:r>
            <w:r w:rsidR="003406A0" w:rsidRPr="003406A0">
              <w:rPr>
                <w:rFonts w:cstheme="minorHAnsi"/>
                <w:bCs/>
              </w:rPr>
              <w:t xml:space="preserve"> 2022</w:t>
            </w:r>
          </w:p>
        </w:tc>
      </w:tr>
      <w:tr w:rsidR="003406A0" w14:paraId="4454A569" w14:textId="77777777" w:rsidTr="003406A0">
        <w:tc>
          <w:tcPr>
            <w:tcW w:w="2155" w:type="dxa"/>
          </w:tcPr>
          <w:p w14:paraId="04EC0932" w14:textId="048A1A03" w:rsidR="003406A0" w:rsidRDefault="003406A0" w:rsidP="003406A0">
            <w:pPr>
              <w:jc w:val="both"/>
              <w:rPr>
                <w:rFonts w:cstheme="minorHAnsi"/>
                <w:b/>
              </w:rPr>
            </w:pPr>
            <w:r w:rsidRPr="004E6879">
              <w:rPr>
                <w:rFonts w:eastAsia="Times New Roman" w:cstheme="minorHAnsi"/>
                <w:b/>
                <w:bCs/>
                <w:color w:val="000000"/>
              </w:rPr>
              <w:t>Reviewed by</w:t>
            </w:r>
          </w:p>
        </w:tc>
        <w:tc>
          <w:tcPr>
            <w:tcW w:w="277" w:type="dxa"/>
          </w:tcPr>
          <w:p w14:paraId="6E298267" w14:textId="27FCF455" w:rsidR="003406A0" w:rsidRDefault="003406A0" w:rsidP="003406A0">
            <w:pPr>
              <w:jc w:val="both"/>
              <w:rPr>
                <w:rFonts w:cstheme="minorHAnsi"/>
                <w:b/>
              </w:rPr>
            </w:pPr>
            <w:r w:rsidRPr="00BF15F4">
              <w:rPr>
                <w:rFonts w:cstheme="minorHAnsi"/>
                <w:bCs/>
              </w:rPr>
              <w:t>:</w:t>
            </w:r>
          </w:p>
        </w:tc>
        <w:tc>
          <w:tcPr>
            <w:tcW w:w="5038" w:type="dxa"/>
          </w:tcPr>
          <w:p w14:paraId="497C8EF2" w14:textId="5C10548B" w:rsidR="003406A0" w:rsidRDefault="003406A0" w:rsidP="003406A0">
            <w:pPr>
              <w:jc w:val="both"/>
              <w:rPr>
                <w:rFonts w:cstheme="minorHAnsi"/>
                <w:b/>
              </w:rPr>
            </w:pPr>
            <w:r>
              <w:rPr>
                <w:rFonts w:eastAsia="Times New Roman" w:cstheme="minorHAnsi"/>
                <w:bCs/>
                <w:color w:val="000000"/>
              </w:rPr>
              <w:t xml:space="preserve">Salauddin Morshed </w:t>
            </w:r>
          </w:p>
        </w:tc>
        <w:tc>
          <w:tcPr>
            <w:tcW w:w="1079" w:type="dxa"/>
          </w:tcPr>
          <w:p w14:paraId="4A84B88C" w14:textId="5510CF77" w:rsidR="003406A0" w:rsidRDefault="003406A0" w:rsidP="003406A0">
            <w:pPr>
              <w:jc w:val="both"/>
              <w:rPr>
                <w:rFonts w:cstheme="minorHAnsi"/>
                <w:b/>
              </w:rPr>
            </w:pPr>
            <w:r>
              <w:rPr>
                <w:rFonts w:cstheme="minorHAnsi"/>
                <w:b/>
              </w:rPr>
              <w:t>Date</w:t>
            </w:r>
          </w:p>
        </w:tc>
        <w:tc>
          <w:tcPr>
            <w:tcW w:w="277" w:type="dxa"/>
          </w:tcPr>
          <w:p w14:paraId="649DFCAF" w14:textId="3D4F7F74" w:rsidR="003406A0" w:rsidRPr="003406A0" w:rsidRDefault="003406A0" w:rsidP="003406A0">
            <w:pPr>
              <w:jc w:val="both"/>
              <w:rPr>
                <w:rFonts w:cstheme="minorHAnsi"/>
                <w:bCs/>
              </w:rPr>
            </w:pPr>
            <w:r w:rsidRPr="003406A0">
              <w:rPr>
                <w:rFonts w:cstheme="minorHAnsi"/>
                <w:bCs/>
              </w:rPr>
              <w:t>:</w:t>
            </w:r>
          </w:p>
        </w:tc>
        <w:tc>
          <w:tcPr>
            <w:tcW w:w="1434" w:type="dxa"/>
          </w:tcPr>
          <w:p w14:paraId="60A8BC82" w14:textId="3536FBDC" w:rsidR="003406A0" w:rsidRDefault="003406A0" w:rsidP="003406A0">
            <w:pPr>
              <w:jc w:val="both"/>
              <w:rPr>
                <w:rFonts w:cstheme="minorHAnsi"/>
                <w:b/>
              </w:rPr>
            </w:pPr>
            <w:r w:rsidRPr="000041E4">
              <w:rPr>
                <w:rFonts w:cstheme="minorHAnsi"/>
                <w:bCs/>
              </w:rPr>
              <w:t>1</w:t>
            </w:r>
            <w:r w:rsidR="00A1687E">
              <w:rPr>
                <w:rFonts w:cstheme="minorHAnsi"/>
                <w:bCs/>
              </w:rPr>
              <w:t>0</w:t>
            </w:r>
            <w:r w:rsidRPr="000041E4">
              <w:rPr>
                <w:rFonts w:cstheme="minorHAnsi"/>
                <w:bCs/>
              </w:rPr>
              <w:t xml:space="preserve"> </w:t>
            </w:r>
            <w:r w:rsidR="005270AC">
              <w:rPr>
                <w:rFonts w:cstheme="minorHAnsi"/>
                <w:bCs/>
              </w:rPr>
              <w:t>Nov</w:t>
            </w:r>
            <w:r w:rsidRPr="000041E4">
              <w:rPr>
                <w:rFonts w:cstheme="minorHAnsi"/>
                <w:bCs/>
              </w:rPr>
              <w:t xml:space="preserve"> 2022</w:t>
            </w:r>
          </w:p>
        </w:tc>
      </w:tr>
      <w:tr w:rsidR="003406A0" w14:paraId="290FD5F6" w14:textId="77777777" w:rsidTr="003406A0">
        <w:tc>
          <w:tcPr>
            <w:tcW w:w="2155" w:type="dxa"/>
            <w:tcBorders>
              <w:bottom w:val="single" w:sz="4" w:space="0" w:color="auto"/>
            </w:tcBorders>
          </w:tcPr>
          <w:p w14:paraId="7E5A9358" w14:textId="68A9FFAF" w:rsidR="003406A0" w:rsidRDefault="003406A0" w:rsidP="003406A0">
            <w:pPr>
              <w:jc w:val="both"/>
              <w:rPr>
                <w:rFonts w:cstheme="minorHAnsi"/>
                <w:b/>
              </w:rPr>
            </w:pPr>
            <w:r>
              <w:rPr>
                <w:rFonts w:eastAsia="Times New Roman" w:cstheme="minorHAnsi"/>
                <w:b/>
                <w:bCs/>
                <w:color w:val="000000"/>
              </w:rPr>
              <w:t xml:space="preserve">Further </w:t>
            </w:r>
            <w:r w:rsidRPr="004E6879">
              <w:rPr>
                <w:rFonts w:eastAsia="Times New Roman" w:cstheme="minorHAnsi"/>
                <w:b/>
                <w:bCs/>
                <w:color w:val="000000"/>
              </w:rPr>
              <w:t>Reviewed by</w:t>
            </w:r>
          </w:p>
        </w:tc>
        <w:tc>
          <w:tcPr>
            <w:tcW w:w="277" w:type="dxa"/>
            <w:tcBorders>
              <w:bottom w:val="single" w:sz="4" w:space="0" w:color="auto"/>
            </w:tcBorders>
          </w:tcPr>
          <w:p w14:paraId="73D38DE1" w14:textId="2E3639D2" w:rsidR="003406A0" w:rsidRDefault="003406A0" w:rsidP="003406A0">
            <w:pPr>
              <w:jc w:val="both"/>
              <w:rPr>
                <w:rFonts w:cstheme="minorHAnsi"/>
                <w:b/>
              </w:rPr>
            </w:pPr>
            <w:r w:rsidRPr="00BF15F4">
              <w:rPr>
                <w:rFonts w:cstheme="minorHAnsi"/>
                <w:bCs/>
              </w:rPr>
              <w:t>:</w:t>
            </w:r>
          </w:p>
        </w:tc>
        <w:tc>
          <w:tcPr>
            <w:tcW w:w="5038" w:type="dxa"/>
            <w:tcBorders>
              <w:bottom w:val="single" w:sz="4" w:space="0" w:color="auto"/>
            </w:tcBorders>
          </w:tcPr>
          <w:p w14:paraId="15F6D4C5" w14:textId="10576A4E" w:rsidR="003406A0" w:rsidRDefault="003406A0" w:rsidP="003406A0">
            <w:pPr>
              <w:jc w:val="both"/>
              <w:rPr>
                <w:rFonts w:cstheme="minorHAnsi"/>
                <w:b/>
              </w:rPr>
            </w:pPr>
            <w:r w:rsidRPr="004E6879">
              <w:rPr>
                <w:rFonts w:eastAsia="Times New Roman" w:cstheme="minorHAnsi"/>
                <w:bCs/>
                <w:color w:val="000000"/>
              </w:rPr>
              <w:t>Faruk Uddin Ahammed, FCA, CISA</w:t>
            </w:r>
          </w:p>
        </w:tc>
        <w:tc>
          <w:tcPr>
            <w:tcW w:w="1079" w:type="dxa"/>
            <w:tcBorders>
              <w:bottom w:val="single" w:sz="4" w:space="0" w:color="auto"/>
            </w:tcBorders>
          </w:tcPr>
          <w:p w14:paraId="394D4FED" w14:textId="3B199B6D" w:rsidR="003406A0" w:rsidRDefault="003406A0" w:rsidP="003406A0">
            <w:pPr>
              <w:jc w:val="both"/>
              <w:rPr>
                <w:rFonts w:cstheme="minorHAnsi"/>
                <w:b/>
              </w:rPr>
            </w:pPr>
            <w:r>
              <w:rPr>
                <w:rFonts w:cstheme="minorHAnsi"/>
                <w:b/>
              </w:rPr>
              <w:t>Date</w:t>
            </w:r>
          </w:p>
        </w:tc>
        <w:tc>
          <w:tcPr>
            <w:tcW w:w="277" w:type="dxa"/>
            <w:tcBorders>
              <w:bottom w:val="single" w:sz="4" w:space="0" w:color="auto"/>
            </w:tcBorders>
          </w:tcPr>
          <w:p w14:paraId="6F56AA3A" w14:textId="606C7EF6" w:rsidR="003406A0" w:rsidRPr="003406A0" w:rsidRDefault="003406A0" w:rsidP="003406A0">
            <w:pPr>
              <w:jc w:val="both"/>
              <w:rPr>
                <w:rFonts w:cstheme="minorHAnsi"/>
                <w:bCs/>
              </w:rPr>
            </w:pPr>
            <w:r w:rsidRPr="003406A0">
              <w:rPr>
                <w:rFonts w:cstheme="minorHAnsi"/>
                <w:bCs/>
              </w:rPr>
              <w:t>:</w:t>
            </w:r>
          </w:p>
        </w:tc>
        <w:tc>
          <w:tcPr>
            <w:tcW w:w="1434" w:type="dxa"/>
            <w:tcBorders>
              <w:bottom w:val="single" w:sz="4" w:space="0" w:color="auto"/>
            </w:tcBorders>
          </w:tcPr>
          <w:p w14:paraId="66000013" w14:textId="6147C67C" w:rsidR="003406A0" w:rsidRDefault="00A1687E" w:rsidP="003406A0">
            <w:pPr>
              <w:jc w:val="both"/>
              <w:rPr>
                <w:rFonts w:cstheme="minorHAnsi"/>
                <w:b/>
              </w:rPr>
            </w:pPr>
            <w:r>
              <w:rPr>
                <w:rFonts w:cstheme="minorHAnsi"/>
                <w:bCs/>
              </w:rPr>
              <w:t>15</w:t>
            </w:r>
            <w:r w:rsidR="003406A0" w:rsidRPr="000041E4">
              <w:rPr>
                <w:rFonts w:cstheme="minorHAnsi"/>
                <w:bCs/>
              </w:rPr>
              <w:t xml:space="preserve"> </w:t>
            </w:r>
            <w:r w:rsidR="005270AC">
              <w:rPr>
                <w:rFonts w:cstheme="minorHAnsi"/>
                <w:bCs/>
              </w:rPr>
              <w:t>Nov</w:t>
            </w:r>
            <w:r w:rsidR="003406A0" w:rsidRPr="000041E4">
              <w:rPr>
                <w:rFonts w:cstheme="minorHAnsi"/>
                <w:bCs/>
              </w:rPr>
              <w:t xml:space="preserve"> 2022</w:t>
            </w:r>
          </w:p>
        </w:tc>
      </w:tr>
      <w:tr w:rsidR="00BF15F4" w14:paraId="2C64A566" w14:textId="77777777" w:rsidTr="003406A0">
        <w:tc>
          <w:tcPr>
            <w:tcW w:w="2155" w:type="dxa"/>
            <w:tcBorders>
              <w:top w:val="single" w:sz="4" w:space="0" w:color="auto"/>
            </w:tcBorders>
          </w:tcPr>
          <w:p w14:paraId="5F8FF7E9" w14:textId="77777777" w:rsidR="00BF15F4" w:rsidRDefault="00BF15F4" w:rsidP="00881746">
            <w:pPr>
              <w:jc w:val="both"/>
              <w:rPr>
                <w:rFonts w:cstheme="minorHAnsi"/>
                <w:b/>
              </w:rPr>
            </w:pPr>
          </w:p>
        </w:tc>
        <w:tc>
          <w:tcPr>
            <w:tcW w:w="277" w:type="dxa"/>
            <w:tcBorders>
              <w:top w:val="single" w:sz="4" w:space="0" w:color="auto"/>
            </w:tcBorders>
          </w:tcPr>
          <w:p w14:paraId="312692AB" w14:textId="77777777" w:rsidR="00BF15F4" w:rsidRDefault="00BF15F4" w:rsidP="00881746">
            <w:pPr>
              <w:jc w:val="both"/>
              <w:rPr>
                <w:rFonts w:cstheme="minorHAnsi"/>
                <w:b/>
              </w:rPr>
            </w:pPr>
          </w:p>
        </w:tc>
        <w:tc>
          <w:tcPr>
            <w:tcW w:w="5038" w:type="dxa"/>
            <w:tcBorders>
              <w:top w:val="single" w:sz="4" w:space="0" w:color="auto"/>
            </w:tcBorders>
          </w:tcPr>
          <w:p w14:paraId="2FD5689D" w14:textId="77777777" w:rsidR="00BF15F4" w:rsidRDefault="00BF15F4" w:rsidP="00881746">
            <w:pPr>
              <w:jc w:val="both"/>
              <w:rPr>
                <w:rFonts w:cstheme="minorHAnsi"/>
                <w:b/>
              </w:rPr>
            </w:pPr>
          </w:p>
        </w:tc>
        <w:tc>
          <w:tcPr>
            <w:tcW w:w="1079" w:type="dxa"/>
            <w:tcBorders>
              <w:top w:val="single" w:sz="4" w:space="0" w:color="auto"/>
            </w:tcBorders>
          </w:tcPr>
          <w:p w14:paraId="291B153F" w14:textId="77777777" w:rsidR="00BF15F4" w:rsidRDefault="00BF15F4" w:rsidP="00881746">
            <w:pPr>
              <w:jc w:val="both"/>
              <w:rPr>
                <w:rFonts w:cstheme="minorHAnsi"/>
                <w:b/>
              </w:rPr>
            </w:pPr>
          </w:p>
        </w:tc>
        <w:tc>
          <w:tcPr>
            <w:tcW w:w="277" w:type="dxa"/>
            <w:tcBorders>
              <w:top w:val="single" w:sz="4" w:space="0" w:color="auto"/>
            </w:tcBorders>
          </w:tcPr>
          <w:p w14:paraId="66283D9F" w14:textId="77777777" w:rsidR="00BF15F4" w:rsidRDefault="00BF15F4" w:rsidP="00881746">
            <w:pPr>
              <w:jc w:val="both"/>
              <w:rPr>
                <w:rFonts w:cstheme="minorHAnsi"/>
                <w:b/>
              </w:rPr>
            </w:pPr>
          </w:p>
        </w:tc>
        <w:tc>
          <w:tcPr>
            <w:tcW w:w="1434" w:type="dxa"/>
            <w:tcBorders>
              <w:top w:val="single" w:sz="4" w:space="0" w:color="auto"/>
            </w:tcBorders>
          </w:tcPr>
          <w:p w14:paraId="0F0ACCEF" w14:textId="6ACD6F00" w:rsidR="00BF15F4" w:rsidRDefault="00BF15F4" w:rsidP="00881746">
            <w:pPr>
              <w:jc w:val="both"/>
              <w:rPr>
                <w:rFonts w:cstheme="minorHAnsi"/>
                <w:b/>
              </w:rPr>
            </w:pPr>
          </w:p>
        </w:tc>
      </w:tr>
    </w:tbl>
    <w:bookmarkEnd w:id="0"/>
    <w:p w14:paraId="126E2BB7" w14:textId="31BAA08B" w:rsidR="007314F1" w:rsidRPr="008F0143" w:rsidRDefault="008F0143" w:rsidP="008F0143">
      <w:pPr>
        <w:pStyle w:val="ListParagraph"/>
        <w:ind w:left="-90"/>
        <w:jc w:val="both"/>
        <w:rPr>
          <w:rFonts w:cstheme="minorHAnsi"/>
          <w:b/>
          <w:color w:val="0070C0"/>
        </w:rPr>
      </w:pPr>
      <w:r>
        <w:rPr>
          <w:rFonts w:cstheme="minorHAnsi"/>
          <w:b/>
          <w:color w:val="0070C0"/>
        </w:rPr>
        <w:t>Background</w:t>
      </w:r>
      <w:r w:rsidR="007314F1" w:rsidRPr="004E6879">
        <w:rPr>
          <w:rFonts w:cstheme="minorHAnsi"/>
          <w:b/>
          <w:color w:val="0070C0"/>
        </w:rPr>
        <w:t>:</w:t>
      </w:r>
    </w:p>
    <w:p w14:paraId="77D66FD7" w14:textId="6DA38FB8" w:rsidR="003406A0" w:rsidRPr="008F0143" w:rsidRDefault="008F0143" w:rsidP="008F0143">
      <w:pPr>
        <w:spacing w:line="276" w:lineRule="auto"/>
        <w:ind w:left="-90"/>
        <w:jc w:val="both"/>
        <w:rPr>
          <w:rFonts w:ascii="Calibri" w:eastAsia="Meiryo" w:hAnsi="Calibri" w:cs="Calibri"/>
        </w:rPr>
      </w:pPr>
      <w:r w:rsidRPr="008F0143">
        <w:rPr>
          <w:rFonts w:ascii="Calibri" w:eastAsia="Meiryo" w:hAnsi="Calibri" w:cs="Calibri"/>
        </w:rPr>
        <w:t xml:space="preserve">The </w:t>
      </w:r>
      <w:r>
        <w:rPr>
          <w:rFonts w:ascii="Calibri" w:eastAsia="Meiryo" w:hAnsi="Calibri" w:cs="Calibri"/>
        </w:rPr>
        <w:t>MEMO aims</w:t>
      </w:r>
      <w:r w:rsidRPr="008F0143">
        <w:rPr>
          <w:rFonts w:ascii="Calibri" w:eastAsia="Meiryo" w:hAnsi="Calibri" w:cs="Calibri"/>
        </w:rPr>
        <w:t xml:space="preserve"> to document our conclusions regarding the audit procedures performed for testing journal entries for management override of controls in accordance with </w:t>
      </w:r>
      <w:r w:rsidRPr="008F0143">
        <w:rPr>
          <w:rFonts w:ascii="Calibri" w:eastAsia="Meiryo" w:hAnsi="Calibri" w:cs="Calibri"/>
          <w:i/>
          <w:iCs/>
        </w:rPr>
        <w:t>International Standard on Auditing (ISA) 240</w:t>
      </w:r>
      <w:r w:rsidRPr="008F0143">
        <w:rPr>
          <w:rFonts w:ascii="Calibri" w:eastAsia="Meiryo" w:hAnsi="Calibri" w:cs="Calibri"/>
        </w:rPr>
        <w:t xml:space="preserve"> </w:t>
      </w:r>
      <w:r w:rsidRPr="008F0143">
        <w:rPr>
          <w:rFonts w:ascii="Calibri" w:eastAsia="Times New Roman" w:hAnsi="Calibri" w:cs="Calibri"/>
          <w:i/>
          <w:iCs/>
        </w:rPr>
        <w:t>The Auditor`s Responsibilities Relating to Fraud in an Audit of Financial Statements</w:t>
      </w:r>
      <w:r w:rsidRPr="008F0143">
        <w:rPr>
          <w:rFonts w:ascii="Calibri" w:eastAsia="Meiryo" w:hAnsi="Calibri" w:cs="Calibri"/>
        </w:rPr>
        <w:t xml:space="preserve">, </w:t>
      </w:r>
      <w:r w:rsidRPr="008F0143">
        <w:rPr>
          <w:rFonts w:ascii="Calibri" w:eastAsia="Meiryo" w:hAnsi="Calibri" w:cs="Calibri"/>
          <w:i/>
          <w:iCs/>
        </w:rPr>
        <w:t>Consideration of Fraud in a Financial Statement Audit</w:t>
      </w:r>
      <w:r w:rsidRPr="008F0143">
        <w:rPr>
          <w:rFonts w:ascii="Calibri" w:eastAsia="Meiryo" w:hAnsi="Calibri" w:cs="Calibri"/>
        </w:rPr>
        <w:t xml:space="preserve">, for </w:t>
      </w:r>
      <w:r>
        <w:rPr>
          <w:rFonts w:ascii="Calibri" w:eastAsia="Meiryo" w:hAnsi="Calibri" w:cs="Calibri"/>
        </w:rPr>
        <w:t xml:space="preserve">Statutory Audit of </w:t>
      </w:r>
      <w:r w:rsidR="001752CE">
        <w:rPr>
          <w:rFonts w:cstheme="minorHAnsi"/>
          <w:bCs/>
        </w:rPr>
        <w:t>Cosmopolitan Industries (Pvt.) Limi</w:t>
      </w:r>
      <w:r w:rsidR="001752CE" w:rsidRPr="00BF15F4">
        <w:rPr>
          <w:rFonts w:cstheme="minorHAnsi"/>
          <w:bCs/>
        </w:rPr>
        <w:t>ted</w:t>
      </w:r>
      <w:r>
        <w:rPr>
          <w:rFonts w:ascii="Calibri" w:eastAsia="Meiryo" w:hAnsi="Calibri" w:cs="Calibri"/>
        </w:rPr>
        <w:t xml:space="preserve"> for the </w:t>
      </w:r>
      <w:r w:rsidRPr="008F0143">
        <w:rPr>
          <w:rFonts w:ascii="Calibri" w:eastAsia="Meiryo" w:hAnsi="Calibri" w:cs="Calibri"/>
        </w:rPr>
        <w:t>year end</w:t>
      </w:r>
      <w:r>
        <w:rPr>
          <w:rFonts w:ascii="Calibri" w:eastAsia="Meiryo" w:hAnsi="Calibri" w:cs="Calibri"/>
        </w:rPr>
        <w:t>ed</w:t>
      </w:r>
      <w:r w:rsidRPr="008F0143">
        <w:rPr>
          <w:rFonts w:ascii="Calibri" w:eastAsia="Meiryo" w:hAnsi="Calibri" w:cs="Calibri"/>
        </w:rPr>
        <w:t xml:space="preserve"> 3</w:t>
      </w:r>
      <w:r w:rsidR="005270AC">
        <w:rPr>
          <w:rFonts w:ascii="Calibri" w:eastAsia="Meiryo" w:hAnsi="Calibri" w:cs="Calibri"/>
        </w:rPr>
        <w:t>0</w:t>
      </w:r>
      <w:r w:rsidRPr="008F0143">
        <w:rPr>
          <w:rFonts w:ascii="Calibri" w:eastAsia="Meiryo" w:hAnsi="Calibri" w:cs="Calibri"/>
        </w:rPr>
        <w:t xml:space="preserve"> </w:t>
      </w:r>
      <w:r w:rsidR="005270AC">
        <w:rPr>
          <w:rFonts w:ascii="Calibri" w:eastAsia="Meiryo" w:hAnsi="Calibri" w:cs="Calibri"/>
        </w:rPr>
        <w:t>June</w:t>
      </w:r>
      <w:r w:rsidRPr="008F0143">
        <w:rPr>
          <w:rFonts w:ascii="Calibri" w:eastAsia="Meiryo" w:hAnsi="Calibri" w:cs="Calibri"/>
        </w:rPr>
        <w:t xml:space="preserve"> 202</w:t>
      </w:r>
      <w:r w:rsidR="005270AC">
        <w:rPr>
          <w:rFonts w:ascii="Calibri" w:eastAsia="Meiryo" w:hAnsi="Calibri" w:cs="Calibri"/>
        </w:rPr>
        <w:t>2</w:t>
      </w:r>
      <w:r w:rsidRPr="008F0143">
        <w:rPr>
          <w:rFonts w:ascii="Calibri" w:eastAsia="Meiryo" w:hAnsi="Calibri" w:cs="Calibri"/>
        </w:rPr>
        <w:t xml:space="preserve">. In preparing this memo, we have reviewed and considered the Deloitte Guide to Journal Entry Testing to Address the Risk of Management Override of Controls (“Deloitte JE Guide”).  </w:t>
      </w:r>
    </w:p>
    <w:p w14:paraId="60AD657E" w14:textId="77777777" w:rsidR="007314F1" w:rsidRPr="004E6879" w:rsidRDefault="007314F1" w:rsidP="007314F1">
      <w:pPr>
        <w:pStyle w:val="ListParagraph"/>
        <w:ind w:left="-90"/>
        <w:jc w:val="both"/>
        <w:rPr>
          <w:rFonts w:cstheme="minorHAnsi"/>
          <w:b/>
          <w:color w:val="0070C0"/>
        </w:rPr>
      </w:pPr>
      <w:r w:rsidRPr="004E6879">
        <w:rPr>
          <w:rFonts w:cstheme="minorHAnsi"/>
          <w:b/>
          <w:color w:val="0070C0"/>
        </w:rPr>
        <w:t>Scope of Audit:</w:t>
      </w:r>
    </w:p>
    <w:p w14:paraId="771B888F" w14:textId="77777777" w:rsidR="007314F1" w:rsidRPr="004E6879" w:rsidRDefault="007314F1" w:rsidP="007314F1">
      <w:pPr>
        <w:pStyle w:val="ListParagraph"/>
        <w:ind w:left="-90"/>
        <w:jc w:val="both"/>
        <w:rPr>
          <w:rFonts w:cstheme="minorHAnsi"/>
        </w:rPr>
      </w:pPr>
    </w:p>
    <w:p w14:paraId="7652C477" w14:textId="40958812" w:rsidR="007314F1" w:rsidRPr="006C0968" w:rsidRDefault="007314F1" w:rsidP="007314F1">
      <w:pPr>
        <w:pStyle w:val="ListParagraph"/>
        <w:ind w:left="-90"/>
        <w:jc w:val="both"/>
        <w:rPr>
          <w:rFonts w:cstheme="minorHAnsi"/>
        </w:rPr>
      </w:pPr>
      <w:bookmarkStart w:id="1" w:name="_Hlk116540966"/>
      <w:r w:rsidRPr="004E6879">
        <w:rPr>
          <w:rFonts w:cstheme="minorHAnsi"/>
        </w:rPr>
        <w:t xml:space="preserve">Local Statutory Audit </w:t>
      </w:r>
      <w:r w:rsidR="00C20C08">
        <w:rPr>
          <w:rFonts w:cstheme="minorHAnsi"/>
        </w:rPr>
        <w:t>–</w:t>
      </w:r>
      <w:r w:rsidRPr="004E6879">
        <w:rPr>
          <w:rFonts w:cstheme="minorHAnsi"/>
        </w:rPr>
        <w:t xml:space="preserve"> </w:t>
      </w:r>
      <w:r w:rsidR="00C20C08">
        <w:rPr>
          <w:rFonts w:cstheme="minorHAnsi"/>
        </w:rPr>
        <w:t xml:space="preserve">Year ended </w:t>
      </w:r>
      <w:r w:rsidRPr="004E6879">
        <w:rPr>
          <w:rFonts w:cstheme="minorHAnsi"/>
        </w:rPr>
        <w:t>3</w:t>
      </w:r>
      <w:r w:rsidR="005270AC">
        <w:rPr>
          <w:rFonts w:cstheme="minorHAnsi"/>
        </w:rPr>
        <w:t>0</w:t>
      </w:r>
      <w:r w:rsidRPr="004E6879">
        <w:rPr>
          <w:rFonts w:cstheme="minorHAnsi"/>
        </w:rPr>
        <w:t xml:space="preserve"> </w:t>
      </w:r>
      <w:r w:rsidR="005270AC">
        <w:rPr>
          <w:rFonts w:cstheme="minorHAnsi"/>
        </w:rPr>
        <w:t>June</w:t>
      </w:r>
      <w:r w:rsidRPr="004E6879">
        <w:rPr>
          <w:rFonts w:cstheme="minorHAnsi"/>
        </w:rPr>
        <w:t xml:space="preserve"> 202</w:t>
      </w:r>
      <w:r w:rsidR="003406A0">
        <w:rPr>
          <w:rFonts w:cstheme="minorHAnsi"/>
        </w:rPr>
        <w:t>2</w:t>
      </w:r>
      <w:r w:rsidRPr="004E6879">
        <w:rPr>
          <w:rFonts w:cstheme="minorHAnsi"/>
        </w:rPr>
        <w:t xml:space="preserve">. </w:t>
      </w:r>
    </w:p>
    <w:bookmarkEnd w:id="1"/>
    <w:p w14:paraId="6048066F" w14:textId="77777777" w:rsidR="007314F1" w:rsidRPr="004E6879" w:rsidRDefault="007314F1" w:rsidP="007314F1">
      <w:pPr>
        <w:pStyle w:val="ListParagraph"/>
        <w:ind w:left="-90"/>
        <w:jc w:val="both"/>
        <w:rPr>
          <w:rFonts w:cstheme="minorHAnsi"/>
        </w:rPr>
      </w:pPr>
    </w:p>
    <w:p w14:paraId="462BBE3E" w14:textId="77777777" w:rsidR="007314F1" w:rsidRPr="004E6879" w:rsidRDefault="007314F1" w:rsidP="007314F1">
      <w:pPr>
        <w:pStyle w:val="ListParagraph"/>
        <w:ind w:left="-90"/>
        <w:jc w:val="both"/>
        <w:rPr>
          <w:rFonts w:cstheme="minorHAnsi"/>
          <w:b/>
          <w:color w:val="0070C0"/>
        </w:rPr>
      </w:pPr>
      <w:r w:rsidRPr="004E6879">
        <w:rPr>
          <w:rFonts w:cstheme="minorHAnsi"/>
          <w:b/>
          <w:color w:val="0070C0"/>
        </w:rPr>
        <w:t xml:space="preserve">Reference </w:t>
      </w:r>
      <w:r>
        <w:rPr>
          <w:rFonts w:cstheme="minorHAnsi"/>
          <w:b/>
          <w:color w:val="0070C0"/>
        </w:rPr>
        <w:t>to</w:t>
      </w:r>
      <w:r w:rsidRPr="004E6879">
        <w:rPr>
          <w:rFonts w:cstheme="minorHAnsi"/>
          <w:b/>
          <w:color w:val="0070C0"/>
        </w:rPr>
        <w:t xml:space="preserve"> International Standards o</w:t>
      </w:r>
      <w:r>
        <w:rPr>
          <w:rFonts w:cstheme="minorHAnsi"/>
          <w:b/>
          <w:color w:val="0070C0"/>
        </w:rPr>
        <w:t>n</w:t>
      </w:r>
      <w:r w:rsidRPr="004E6879">
        <w:rPr>
          <w:rFonts w:cstheme="minorHAnsi"/>
          <w:b/>
          <w:color w:val="0070C0"/>
        </w:rPr>
        <w:t xml:space="preserve"> Audit</w:t>
      </w:r>
      <w:r>
        <w:rPr>
          <w:rFonts w:cstheme="minorHAnsi"/>
          <w:b/>
          <w:color w:val="0070C0"/>
        </w:rPr>
        <w:t>ing</w:t>
      </w:r>
      <w:r w:rsidRPr="004E6879">
        <w:rPr>
          <w:rFonts w:cstheme="minorHAnsi"/>
          <w:b/>
          <w:color w:val="0070C0"/>
        </w:rPr>
        <w:t xml:space="preserve"> (ISA):</w:t>
      </w:r>
    </w:p>
    <w:p w14:paraId="172E3C46" w14:textId="77777777" w:rsidR="007314F1" w:rsidRPr="004E6879" w:rsidRDefault="007314F1" w:rsidP="007314F1">
      <w:pPr>
        <w:pStyle w:val="ListParagraph"/>
        <w:ind w:left="-90"/>
        <w:jc w:val="both"/>
        <w:rPr>
          <w:rFonts w:cstheme="minorHAnsi"/>
          <w:b/>
          <w:color w:val="0070C0"/>
        </w:rPr>
      </w:pPr>
    </w:p>
    <w:p w14:paraId="63CB048C" w14:textId="77777777" w:rsidR="007314F1" w:rsidRPr="004E6879" w:rsidRDefault="007314F1" w:rsidP="007314F1">
      <w:pPr>
        <w:pStyle w:val="ListParagraph"/>
        <w:ind w:left="-90"/>
        <w:jc w:val="both"/>
        <w:rPr>
          <w:rFonts w:cstheme="minorHAnsi"/>
        </w:rPr>
      </w:pPr>
      <w:r w:rsidRPr="004E6879">
        <w:rPr>
          <w:rFonts w:cstheme="minorHAnsi"/>
        </w:rPr>
        <w:t>ISA 240, effectively we need to cover 3 aspects for MOC:</w:t>
      </w:r>
    </w:p>
    <w:p w14:paraId="7E7A54C2" w14:textId="77777777" w:rsidR="007314F1" w:rsidRPr="004E6879" w:rsidRDefault="007314F1" w:rsidP="007314F1">
      <w:pPr>
        <w:pStyle w:val="ListParagraph"/>
        <w:ind w:left="-90"/>
        <w:jc w:val="both"/>
        <w:rPr>
          <w:rFonts w:cstheme="minorHAnsi"/>
        </w:rPr>
      </w:pPr>
    </w:p>
    <w:p w14:paraId="361297E1" w14:textId="77777777" w:rsidR="007314F1" w:rsidRPr="004E6879" w:rsidRDefault="007314F1" w:rsidP="007314F1">
      <w:pPr>
        <w:pStyle w:val="ListParagraph"/>
        <w:ind w:left="-90"/>
        <w:jc w:val="both"/>
        <w:rPr>
          <w:rFonts w:cstheme="minorHAnsi"/>
          <w:b/>
          <w:color w:val="0070C0"/>
        </w:rPr>
      </w:pPr>
      <w:r w:rsidRPr="004E6879">
        <w:rPr>
          <w:rFonts w:cstheme="minorHAnsi"/>
        </w:rPr>
        <w:t>Irrespective of the auditor’s assessment of the risks of management override of controls, the auditor shall design and perform audit procedures to:</w:t>
      </w:r>
    </w:p>
    <w:p w14:paraId="025960E5" w14:textId="77777777" w:rsidR="007314F1" w:rsidRPr="004E6879" w:rsidRDefault="007314F1" w:rsidP="007314F1">
      <w:pPr>
        <w:contextualSpacing/>
        <w:jc w:val="both"/>
        <w:rPr>
          <w:rFonts w:cstheme="minorHAnsi"/>
        </w:rPr>
      </w:pPr>
      <w:r w:rsidRPr="004E6879">
        <w:rPr>
          <w:rFonts w:cstheme="minorHAnsi"/>
          <w:b/>
          <w:bCs/>
          <w:color w:val="5B9BD5"/>
        </w:rPr>
        <w:t>(a)</w:t>
      </w:r>
      <w:r w:rsidRPr="004E6879">
        <w:rPr>
          <w:rFonts w:cstheme="minorHAnsi"/>
          <w:color w:val="5B9BD5"/>
        </w:rPr>
        <w:t xml:space="preserve"> </w:t>
      </w:r>
      <w:r w:rsidRPr="004E6879">
        <w:rPr>
          <w:rFonts w:cstheme="minorHAnsi"/>
          <w:b/>
          <w:bCs/>
        </w:rPr>
        <w:t>Test the appropriateness of journal entries</w:t>
      </w:r>
      <w:r w:rsidRPr="004E6879">
        <w:rPr>
          <w:rFonts w:cstheme="minorHAnsi"/>
        </w:rPr>
        <w:t xml:space="preserve"> </w:t>
      </w:r>
    </w:p>
    <w:p w14:paraId="39E6CF9D" w14:textId="77777777" w:rsidR="007314F1" w:rsidRPr="004E6879" w:rsidRDefault="007314F1" w:rsidP="007314F1">
      <w:pPr>
        <w:spacing w:after="100" w:afterAutospacing="1"/>
        <w:contextualSpacing/>
        <w:jc w:val="both"/>
        <w:rPr>
          <w:rFonts w:cstheme="minorHAnsi"/>
        </w:rPr>
      </w:pPr>
      <w:r w:rsidRPr="004E6879">
        <w:rPr>
          <w:rFonts w:cstheme="minorHAnsi"/>
          <w:b/>
          <w:bCs/>
          <w:color w:val="5B9BD5"/>
        </w:rPr>
        <w:t>(b)</w:t>
      </w:r>
      <w:r w:rsidRPr="004E6879">
        <w:rPr>
          <w:rFonts w:cstheme="minorHAnsi"/>
        </w:rPr>
        <w:t xml:space="preserve"> </w:t>
      </w:r>
      <w:r w:rsidRPr="004E6879">
        <w:rPr>
          <w:rFonts w:cstheme="minorHAnsi"/>
          <w:b/>
          <w:bCs/>
        </w:rPr>
        <w:t>Review accounting estimates for biases</w:t>
      </w:r>
      <w:r w:rsidRPr="004E6879">
        <w:rPr>
          <w:rFonts w:cstheme="minorHAnsi"/>
        </w:rPr>
        <w:t xml:space="preserve"> </w:t>
      </w:r>
    </w:p>
    <w:p w14:paraId="66B78A22" w14:textId="77777777" w:rsidR="007314F1" w:rsidRPr="00D64490" w:rsidRDefault="007314F1" w:rsidP="007314F1">
      <w:pPr>
        <w:jc w:val="both"/>
        <w:rPr>
          <w:rFonts w:cstheme="minorHAnsi"/>
        </w:rPr>
      </w:pPr>
      <w:r w:rsidRPr="004E6879">
        <w:rPr>
          <w:rFonts w:cstheme="minorHAnsi"/>
          <w:b/>
          <w:bCs/>
          <w:color w:val="5B9BD5"/>
        </w:rPr>
        <w:t>(c)</w:t>
      </w:r>
      <w:r w:rsidRPr="004E6879">
        <w:rPr>
          <w:rFonts w:cstheme="minorHAnsi"/>
        </w:rPr>
        <w:t xml:space="preserve"> </w:t>
      </w:r>
      <w:r w:rsidRPr="004E6879">
        <w:rPr>
          <w:rFonts w:cstheme="minorHAnsi"/>
          <w:b/>
          <w:bCs/>
        </w:rPr>
        <w:t>Significant transactions that are outside the normal course of business</w:t>
      </w:r>
      <w:r w:rsidRPr="004E6879">
        <w:rPr>
          <w:rFonts w:cstheme="minorHAnsi"/>
        </w:rPr>
        <w:t xml:space="preserve"> </w:t>
      </w:r>
    </w:p>
    <w:p w14:paraId="2A3B31DD" w14:textId="4E9A1852" w:rsidR="007314F1" w:rsidRDefault="007314F1" w:rsidP="007314F1">
      <w:pPr>
        <w:pStyle w:val="ListParagraph"/>
        <w:ind w:left="-90"/>
        <w:jc w:val="both"/>
        <w:rPr>
          <w:rFonts w:cstheme="minorHAnsi"/>
          <w:bCs/>
        </w:rPr>
      </w:pPr>
      <w:r w:rsidRPr="00C07ABC">
        <w:rPr>
          <w:rFonts w:cstheme="minorHAnsi"/>
          <w:bCs/>
        </w:rPr>
        <w:t xml:space="preserve">To perform </w:t>
      </w:r>
      <w:r w:rsidRPr="007474BA">
        <w:rPr>
          <w:rFonts w:cstheme="minorHAnsi"/>
          <w:b/>
        </w:rPr>
        <w:t>Significant transactions that are outside the normal course of business</w:t>
      </w:r>
      <w:r w:rsidR="00C41581">
        <w:rPr>
          <w:rFonts w:cstheme="minorHAnsi"/>
          <w:b/>
        </w:rPr>
        <w:t>,</w:t>
      </w:r>
      <w:r>
        <w:rPr>
          <w:rFonts w:cstheme="minorHAnsi"/>
          <w:bCs/>
        </w:rPr>
        <w:t xml:space="preserve"> </w:t>
      </w:r>
      <w:r w:rsidR="00C41581" w:rsidRPr="004E6879">
        <w:rPr>
          <w:rFonts w:cstheme="minorHAnsi"/>
        </w:rPr>
        <w:t>E</w:t>
      </w:r>
      <w:r w:rsidR="00C41581">
        <w:rPr>
          <w:rFonts w:cstheme="minorHAnsi"/>
        </w:rPr>
        <w:t xml:space="preserve">ngagement </w:t>
      </w:r>
      <w:r w:rsidR="00C41581" w:rsidRPr="004E6879">
        <w:rPr>
          <w:rFonts w:cstheme="minorHAnsi"/>
        </w:rPr>
        <w:t>T</w:t>
      </w:r>
      <w:r w:rsidR="00C41581">
        <w:rPr>
          <w:rFonts w:cstheme="minorHAnsi"/>
        </w:rPr>
        <w:t>eam (</w:t>
      </w:r>
      <w:r>
        <w:rPr>
          <w:rFonts w:cstheme="minorHAnsi"/>
          <w:bCs/>
        </w:rPr>
        <w:t>ET</w:t>
      </w:r>
      <w:r w:rsidR="00C41581">
        <w:rPr>
          <w:rFonts w:cstheme="minorHAnsi"/>
          <w:bCs/>
        </w:rPr>
        <w:t>)</w:t>
      </w:r>
      <w:r>
        <w:rPr>
          <w:rFonts w:cstheme="minorHAnsi"/>
          <w:bCs/>
        </w:rPr>
        <w:t xml:space="preserve"> has followed the following procedure:</w:t>
      </w:r>
    </w:p>
    <w:p w14:paraId="3BF4BA43" w14:textId="77777777" w:rsidR="007314F1" w:rsidRDefault="007314F1" w:rsidP="007314F1">
      <w:pPr>
        <w:pStyle w:val="ListParagraph"/>
        <w:ind w:left="-90"/>
        <w:jc w:val="both"/>
        <w:rPr>
          <w:rFonts w:cstheme="minorHAnsi"/>
          <w:bCs/>
        </w:rPr>
      </w:pPr>
    </w:p>
    <w:p w14:paraId="369A610D" w14:textId="77777777" w:rsidR="007314F1" w:rsidRPr="00F865B4" w:rsidRDefault="007314F1" w:rsidP="007314F1">
      <w:pPr>
        <w:pStyle w:val="ListParagraph"/>
        <w:ind w:left="-90"/>
        <w:jc w:val="both"/>
        <w:rPr>
          <w:rFonts w:cstheme="minorHAnsi"/>
          <w:bCs/>
        </w:rPr>
      </w:pPr>
      <w:r w:rsidRPr="00F865B4">
        <w:rPr>
          <w:rFonts w:cstheme="minorHAnsi"/>
          <w:b/>
        </w:rPr>
        <w:t xml:space="preserve">Test for Unusual Transactions: </w:t>
      </w:r>
    </w:p>
    <w:p w14:paraId="5B89F8DA" w14:textId="77777777" w:rsidR="007314F1" w:rsidRPr="004E6879" w:rsidRDefault="007314F1" w:rsidP="007314F1">
      <w:pPr>
        <w:pStyle w:val="ListParagraph"/>
        <w:jc w:val="both"/>
        <w:rPr>
          <w:rFonts w:cstheme="minorHAnsi"/>
        </w:rPr>
      </w:pPr>
      <w:r w:rsidRPr="004E6879">
        <w:rPr>
          <w:rFonts w:cstheme="minorHAnsi"/>
        </w:rPr>
        <w:t xml:space="preserve"> </w:t>
      </w:r>
    </w:p>
    <w:p w14:paraId="571CA7D3" w14:textId="72E624FB" w:rsidR="007314F1" w:rsidRDefault="007314F1" w:rsidP="007314F1">
      <w:pPr>
        <w:pStyle w:val="ListParagraph"/>
        <w:numPr>
          <w:ilvl w:val="0"/>
          <w:numId w:val="27"/>
        </w:numPr>
        <w:jc w:val="both"/>
        <w:rPr>
          <w:rFonts w:cstheme="minorHAnsi"/>
        </w:rPr>
      </w:pPr>
      <w:r w:rsidRPr="004E6879">
        <w:rPr>
          <w:rFonts w:cstheme="minorHAnsi"/>
        </w:rPr>
        <w:t>E</w:t>
      </w:r>
      <w:r w:rsidR="00C41581">
        <w:rPr>
          <w:rFonts w:cstheme="minorHAnsi"/>
        </w:rPr>
        <w:t xml:space="preserve">ngagement </w:t>
      </w:r>
      <w:r w:rsidRPr="004E6879">
        <w:rPr>
          <w:rFonts w:cstheme="minorHAnsi"/>
        </w:rPr>
        <w:t>T</w:t>
      </w:r>
      <w:r w:rsidR="00C41581">
        <w:rPr>
          <w:rFonts w:cstheme="minorHAnsi"/>
        </w:rPr>
        <w:t>eam (ET)</w:t>
      </w:r>
      <w:r w:rsidRPr="004E6879">
        <w:rPr>
          <w:rFonts w:cstheme="minorHAnsi"/>
        </w:rPr>
        <w:t xml:space="preserve"> ha</w:t>
      </w:r>
      <w:r>
        <w:rPr>
          <w:rFonts w:cstheme="minorHAnsi"/>
        </w:rPr>
        <w:t>s</w:t>
      </w:r>
      <w:r w:rsidRPr="004E6879">
        <w:rPr>
          <w:rFonts w:cstheme="minorHAnsi"/>
        </w:rPr>
        <w:t xml:space="preserve"> performed the JE profiling to identify the unusual entries and obtained </w:t>
      </w:r>
      <w:r>
        <w:rPr>
          <w:rFonts w:cstheme="minorHAnsi"/>
        </w:rPr>
        <w:t>appropriate business</w:t>
      </w:r>
      <w:r w:rsidRPr="004E6879">
        <w:rPr>
          <w:rFonts w:cstheme="minorHAnsi"/>
        </w:rPr>
        <w:t xml:space="preserve"> rationale for those entries.</w:t>
      </w:r>
      <w:r>
        <w:rPr>
          <w:rFonts w:cstheme="minorHAnsi"/>
        </w:rPr>
        <w:t xml:space="preserve"> ET has used </w:t>
      </w:r>
      <w:r w:rsidR="005270AC">
        <w:rPr>
          <w:rFonts w:cstheme="minorHAnsi"/>
        </w:rPr>
        <w:t>spotlight</w:t>
      </w:r>
      <w:r>
        <w:rPr>
          <w:rFonts w:cstheme="minorHAnsi"/>
        </w:rPr>
        <w:t xml:space="preserve"> to perform JE profiling</w:t>
      </w:r>
      <w:r w:rsidR="005270AC">
        <w:rPr>
          <w:rFonts w:cstheme="minorHAnsi"/>
        </w:rPr>
        <w:t xml:space="preserve"> supported by Group Auditor</w:t>
      </w:r>
      <w:r>
        <w:rPr>
          <w:rFonts w:cstheme="minorHAnsi"/>
        </w:rPr>
        <w:t>.</w:t>
      </w:r>
    </w:p>
    <w:p w14:paraId="015F2153" w14:textId="77777777" w:rsidR="007314F1" w:rsidRDefault="007314F1" w:rsidP="007314F1">
      <w:pPr>
        <w:pStyle w:val="ListParagraph"/>
        <w:ind w:left="1080"/>
        <w:jc w:val="both"/>
        <w:rPr>
          <w:rFonts w:cstheme="minorHAnsi"/>
        </w:rPr>
      </w:pPr>
    </w:p>
    <w:p w14:paraId="76125DDB" w14:textId="0C06EAE7" w:rsidR="001E5560" w:rsidRPr="00427CF4" w:rsidRDefault="007314F1" w:rsidP="00427CF4">
      <w:pPr>
        <w:pStyle w:val="ListParagraph"/>
        <w:ind w:left="1080"/>
        <w:jc w:val="both"/>
        <w:rPr>
          <w:rFonts w:cstheme="minorHAnsi"/>
        </w:rPr>
      </w:pPr>
      <w:r>
        <w:rPr>
          <w:rFonts w:cstheme="minorHAnsi"/>
        </w:rPr>
        <w:t>Firstly, ET has performed integrity testing</w:t>
      </w:r>
      <w:r w:rsidR="00932ADB">
        <w:rPr>
          <w:rFonts w:cstheme="minorHAnsi"/>
        </w:rPr>
        <w:t xml:space="preserve"> for the whole year</w:t>
      </w:r>
      <w:r>
        <w:rPr>
          <w:rFonts w:cstheme="minorHAnsi"/>
        </w:rPr>
        <w:t xml:space="preserve">. ET has tried to combine the full data dump into one single file. There were </w:t>
      </w:r>
      <w:r w:rsidR="006148A4">
        <w:rPr>
          <w:rFonts w:cstheme="minorHAnsi"/>
        </w:rPr>
        <w:t>272,550</w:t>
      </w:r>
      <w:r w:rsidR="007C793C">
        <w:rPr>
          <w:rFonts w:cstheme="minorHAnsi"/>
        </w:rPr>
        <w:t>-line</w:t>
      </w:r>
      <w:r w:rsidR="00952AAF">
        <w:rPr>
          <w:rFonts w:cstheme="minorHAnsi"/>
        </w:rPr>
        <w:t xml:space="preserve"> </w:t>
      </w:r>
      <w:r>
        <w:rPr>
          <w:rFonts w:cstheme="minorHAnsi"/>
        </w:rPr>
        <w:t xml:space="preserve">items in the full </w:t>
      </w:r>
      <w:r w:rsidR="00427CF4">
        <w:rPr>
          <w:rFonts w:cstheme="minorHAnsi"/>
        </w:rPr>
        <w:t>D</w:t>
      </w:r>
      <w:r>
        <w:rPr>
          <w:rFonts w:cstheme="minorHAnsi"/>
        </w:rPr>
        <w:t xml:space="preserve">ata </w:t>
      </w:r>
      <w:r w:rsidR="00427CF4">
        <w:rPr>
          <w:rFonts w:cstheme="minorHAnsi"/>
        </w:rPr>
        <w:t>D</w:t>
      </w:r>
      <w:r>
        <w:rPr>
          <w:rFonts w:cstheme="minorHAnsi"/>
        </w:rPr>
        <w:t xml:space="preserve">ump. Refer </w:t>
      </w:r>
      <w:r w:rsidR="00427CF4">
        <w:rPr>
          <w:rFonts w:cstheme="minorHAnsi"/>
        </w:rPr>
        <w:t xml:space="preserve">to </w:t>
      </w:r>
      <w:r w:rsidR="004C24D7">
        <w:rPr>
          <w:rFonts w:cstheme="minorHAnsi"/>
          <w:b/>
          <w:color w:val="5B9BD5" w:themeColor="accent1"/>
        </w:rPr>
        <w:t>Data dump-</w:t>
      </w:r>
      <w:r w:rsidR="00A5405E">
        <w:rPr>
          <w:rFonts w:cstheme="minorHAnsi"/>
          <w:b/>
          <w:color w:val="5B9BD5" w:themeColor="accent1"/>
        </w:rPr>
        <w:t>CIPL</w:t>
      </w:r>
      <w:r w:rsidR="004C24D7">
        <w:rPr>
          <w:rFonts w:cstheme="minorHAnsi"/>
          <w:b/>
          <w:color w:val="5B9BD5" w:themeColor="accent1"/>
        </w:rPr>
        <w:t>- June 2022.</w:t>
      </w:r>
      <w:r w:rsidR="003406A0" w:rsidRPr="00427CF4">
        <w:rPr>
          <w:rFonts w:cstheme="minorHAnsi"/>
          <w:b/>
          <w:color w:val="5B9BD5" w:themeColor="accent1"/>
        </w:rPr>
        <w:t xml:space="preserve"> </w:t>
      </w:r>
    </w:p>
    <w:p w14:paraId="7C040915" w14:textId="77777777" w:rsidR="00952AAF" w:rsidRPr="00952AAF" w:rsidRDefault="00952AAF" w:rsidP="00952AAF">
      <w:pPr>
        <w:pStyle w:val="ListParagraph"/>
        <w:ind w:left="1080"/>
        <w:jc w:val="both"/>
        <w:rPr>
          <w:rFonts w:cstheme="minorHAnsi"/>
          <w:b/>
          <w:color w:val="5B9BD5" w:themeColor="accent1"/>
        </w:rPr>
      </w:pPr>
    </w:p>
    <w:p w14:paraId="51FD134D" w14:textId="104A973B" w:rsidR="003F01A5" w:rsidRDefault="002731AC" w:rsidP="00A728A3">
      <w:pPr>
        <w:pStyle w:val="ListParagraph"/>
        <w:ind w:left="1080"/>
        <w:jc w:val="both"/>
        <w:rPr>
          <w:rFonts w:cstheme="minorHAnsi"/>
        </w:rPr>
      </w:pPr>
      <w:r w:rsidRPr="006736F3">
        <w:rPr>
          <w:rFonts w:cstheme="minorHAnsi"/>
          <w:b/>
          <w:bCs/>
        </w:rPr>
        <w:t>Step 1:</w:t>
      </w:r>
      <w:r>
        <w:rPr>
          <w:rFonts w:cstheme="minorHAnsi"/>
        </w:rPr>
        <w:t xml:space="preserve"> ET has </w:t>
      </w:r>
      <w:r w:rsidR="00B32F6C">
        <w:rPr>
          <w:rFonts w:cstheme="minorHAnsi"/>
        </w:rPr>
        <w:t xml:space="preserve">extracted the </w:t>
      </w:r>
      <w:r w:rsidR="003D2201">
        <w:rPr>
          <w:rFonts w:cstheme="minorHAnsi"/>
        </w:rPr>
        <w:t xml:space="preserve">manual </w:t>
      </w:r>
      <w:r w:rsidR="007314F1">
        <w:rPr>
          <w:rFonts w:cstheme="minorHAnsi"/>
        </w:rPr>
        <w:t>journal entries from the data dump</w:t>
      </w:r>
      <w:r w:rsidR="003D2201">
        <w:rPr>
          <w:rFonts w:cstheme="minorHAnsi"/>
        </w:rPr>
        <w:t xml:space="preserve">. </w:t>
      </w:r>
      <w:r w:rsidR="00B32F6C">
        <w:rPr>
          <w:rFonts w:cstheme="minorHAnsi"/>
        </w:rPr>
        <w:t xml:space="preserve">Then inserted the manual journal entries </w:t>
      </w:r>
      <w:r w:rsidR="00E8672C">
        <w:rPr>
          <w:rFonts w:cstheme="minorHAnsi"/>
        </w:rPr>
        <w:t xml:space="preserve">to the </w:t>
      </w:r>
      <w:r w:rsidR="00E8672C" w:rsidRPr="00E8672C">
        <w:rPr>
          <w:rFonts w:cstheme="minorHAnsi"/>
          <w:b/>
          <w:bCs/>
        </w:rPr>
        <w:t>Population</w:t>
      </w:r>
      <w:r w:rsidR="00E8672C">
        <w:rPr>
          <w:rFonts w:cstheme="minorHAnsi"/>
        </w:rPr>
        <w:t xml:space="preserve"> tab of the </w:t>
      </w:r>
      <w:r w:rsidR="004C24D7">
        <w:rPr>
          <w:rFonts w:cstheme="minorHAnsi"/>
        </w:rPr>
        <w:t>Spotlight</w:t>
      </w:r>
      <w:r w:rsidR="00E8672C">
        <w:rPr>
          <w:rFonts w:cstheme="minorHAnsi"/>
        </w:rPr>
        <w:t xml:space="preserve"> Solutions</w:t>
      </w:r>
      <w:r w:rsidR="00A844EB">
        <w:rPr>
          <w:rFonts w:cstheme="minorHAnsi"/>
        </w:rPr>
        <w:t xml:space="preserve"> for </w:t>
      </w:r>
      <w:r w:rsidR="00952AAF">
        <w:rPr>
          <w:rFonts w:cstheme="minorHAnsi"/>
        </w:rPr>
        <w:t>analysis</w:t>
      </w:r>
      <w:r w:rsidR="00E8672C">
        <w:rPr>
          <w:rFonts w:cstheme="minorHAnsi"/>
        </w:rPr>
        <w:t>.</w:t>
      </w:r>
      <w:r w:rsidR="00B36A67">
        <w:rPr>
          <w:rFonts w:cstheme="minorHAnsi"/>
        </w:rPr>
        <w:t xml:space="preserve"> </w:t>
      </w:r>
    </w:p>
    <w:p w14:paraId="04D1522A" w14:textId="77777777" w:rsidR="009F1642" w:rsidRPr="00E8672C" w:rsidRDefault="009F1642" w:rsidP="00A728A3">
      <w:pPr>
        <w:pStyle w:val="ListParagraph"/>
        <w:ind w:left="1080"/>
        <w:jc w:val="both"/>
        <w:rPr>
          <w:rFonts w:cstheme="minorHAnsi"/>
        </w:rPr>
      </w:pPr>
    </w:p>
    <w:p w14:paraId="3238A9B7" w14:textId="09A205EA" w:rsidR="00D56F1E" w:rsidRDefault="00E96589" w:rsidP="00D56F1E">
      <w:pPr>
        <w:pStyle w:val="ListParagraph"/>
        <w:ind w:left="1080"/>
        <w:jc w:val="both"/>
        <w:rPr>
          <w:rFonts w:cstheme="minorHAnsi"/>
          <w:b/>
          <w:color w:val="5B9BD5" w:themeColor="accent1"/>
        </w:rPr>
      </w:pPr>
      <w:r w:rsidRPr="006736F3">
        <w:rPr>
          <w:rFonts w:cstheme="minorHAnsi"/>
          <w:b/>
          <w:bCs/>
        </w:rPr>
        <w:t>Step 2</w:t>
      </w:r>
      <w:r>
        <w:rPr>
          <w:rFonts w:cstheme="minorHAnsi"/>
        </w:rPr>
        <w:t>:</w:t>
      </w:r>
      <w:r w:rsidR="00932ADB">
        <w:rPr>
          <w:rFonts w:cstheme="minorHAnsi"/>
        </w:rPr>
        <w:t xml:space="preserve"> </w:t>
      </w:r>
      <w:r w:rsidR="00D72DA0">
        <w:rPr>
          <w:rFonts w:cstheme="minorHAnsi"/>
        </w:rPr>
        <w:t xml:space="preserve">Then, ET </w:t>
      </w:r>
      <w:r w:rsidR="005954C0">
        <w:rPr>
          <w:rFonts w:cstheme="minorHAnsi"/>
        </w:rPr>
        <w:t>conducted an</w:t>
      </w:r>
      <w:r w:rsidR="000934C8">
        <w:rPr>
          <w:rFonts w:cstheme="minorHAnsi"/>
        </w:rPr>
        <w:t xml:space="preserve"> i</w:t>
      </w:r>
      <w:r w:rsidR="00952AAF">
        <w:rPr>
          <w:rFonts w:cstheme="minorHAnsi"/>
        </w:rPr>
        <w:t>ntegrity test</w:t>
      </w:r>
      <w:r w:rsidR="00D72DA0">
        <w:rPr>
          <w:rFonts w:cstheme="minorHAnsi"/>
        </w:rPr>
        <w:t xml:space="preserve">. </w:t>
      </w:r>
      <w:r w:rsidR="009A5CDE">
        <w:rPr>
          <w:rFonts w:cstheme="minorHAnsi"/>
        </w:rPr>
        <w:t>No difference was found</w:t>
      </w:r>
      <w:r w:rsidR="00C20C08">
        <w:rPr>
          <w:rFonts w:cstheme="minorHAnsi"/>
        </w:rPr>
        <w:t xml:space="preserve"> between TB movement and JE Dump movement. We</w:t>
      </w:r>
      <w:r w:rsidR="00D56F1E">
        <w:rPr>
          <w:rFonts w:cstheme="minorHAnsi"/>
        </w:rPr>
        <w:t xml:space="preserve">. Refer to </w:t>
      </w:r>
      <w:r w:rsidR="00427CF4" w:rsidRPr="00427CF4">
        <w:rPr>
          <w:rFonts w:cstheme="minorHAnsi"/>
          <w:b/>
          <w:bCs/>
          <w:color w:val="0070C0"/>
        </w:rPr>
        <w:t>WP</w:t>
      </w:r>
      <w:r w:rsidR="00E91F4F">
        <w:rPr>
          <w:rFonts w:cstheme="minorHAnsi"/>
          <w:b/>
          <w:bCs/>
          <w:color w:val="0070C0"/>
        </w:rPr>
        <w:t>#</w:t>
      </w:r>
      <w:r w:rsidR="00E91F4F" w:rsidRPr="00E91F4F">
        <w:rPr>
          <w:rFonts w:cstheme="minorHAnsi"/>
          <w:b/>
          <w:bCs/>
          <w:color w:val="0070C0"/>
        </w:rPr>
        <w:t>FSL.P01.1 Profiling of Journal entry testing</w:t>
      </w:r>
      <w:r w:rsidR="00D56F1E" w:rsidRPr="00427CF4">
        <w:rPr>
          <w:rFonts w:cstheme="minorHAnsi"/>
          <w:b/>
          <w:bCs/>
          <w:color w:val="0070C0"/>
        </w:rPr>
        <w:t>.</w:t>
      </w:r>
      <w:r w:rsidR="00D56F1E" w:rsidRPr="00427CF4">
        <w:rPr>
          <w:rFonts w:cstheme="minorHAnsi"/>
          <w:b/>
          <w:color w:val="0070C0"/>
        </w:rPr>
        <w:t xml:space="preserve"> </w:t>
      </w:r>
    </w:p>
    <w:p w14:paraId="09AEB225" w14:textId="42D394D7" w:rsidR="00C20C08" w:rsidRDefault="00C20C08" w:rsidP="00A728A3">
      <w:pPr>
        <w:pStyle w:val="ListParagraph"/>
        <w:ind w:left="1080"/>
        <w:jc w:val="both"/>
        <w:rPr>
          <w:rFonts w:cstheme="minorHAnsi"/>
        </w:rPr>
      </w:pPr>
    </w:p>
    <w:p w14:paraId="78911B68" w14:textId="3838F8E7" w:rsidR="003F01A5" w:rsidRDefault="00C20C08" w:rsidP="00A728A3">
      <w:pPr>
        <w:pStyle w:val="ListParagraph"/>
        <w:ind w:left="1080"/>
        <w:jc w:val="both"/>
        <w:rPr>
          <w:rFonts w:cstheme="minorHAnsi"/>
        </w:rPr>
      </w:pPr>
      <w:r>
        <w:rPr>
          <w:rFonts w:cstheme="minorHAnsi"/>
          <w:b/>
          <w:bCs/>
        </w:rPr>
        <w:t>Step 3</w:t>
      </w:r>
      <w:r w:rsidRPr="00C20C08">
        <w:rPr>
          <w:rFonts w:cstheme="minorHAnsi"/>
        </w:rPr>
        <w:t>:</w:t>
      </w:r>
      <w:r>
        <w:rPr>
          <w:rFonts w:cstheme="minorHAnsi"/>
        </w:rPr>
        <w:t xml:space="preserve"> </w:t>
      </w:r>
      <w:r w:rsidR="00932ADB">
        <w:rPr>
          <w:rFonts w:cstheme="minorHAnsi"/>
        </w:rPr>
        <w:t>T</w:t>
      </w:r>
      <w:r w:rsidR="00622D6C">
        <w:rPr>
          <w:rFonts w:cstheme="minorHAnsi"/>
        </w:rPr>
        <w:t>he</w:t>
      </w:r>
      <w:r w:rsidR="00932ADB">
        <w:rPr>
          <w:rFonts w:cstheme="minorHAnsi"/>
        </w:rPr>
        <w:t xml:space="preserve"> ET </w:t>
      </w:r>
      <w:r w:rsidR="00DA5403">
        <w:rPr>
          <w:rFonts w:cstheme="minorHAnsi"/>
        </w:rPr>
        <w:t>performed tailoring based on 1</w:t>
      </w:r>
      <w:r w:rsidR="00C771FB">
        <w:rPr>
          <w:rFonts w:cstheme="minorHAnsi"/>
        </w:rPr>
        <w:t>4</w:t>
      </w:r>
      <w:r w:rsidR="00DA5403">
        <w:rPr>
          <w:rFonts w:cstheme="minorHAnsi"/>
        </w:rPr>
        <w:t xml:space="preserve"> profiling criteria, and finally performed JE testing based on 1</w:t>
      </w:r>
      <w:r w:rsidR="00C771FB">
        <w:rPr>
          <w:rFonts w:cstheme="minorHAnsi"/>
        </w:rPr>
        <w:t>4</w:t>
      </w:r>
      <w:r w:rsidR="00DA5403">
        <w:rPr>
          <w:rFonts w:cstheme="minorHAnsi"/>
        </w:rPr>
        <w:t xml:space="preserve"> profiling criteria. Procedures followed in this regard are as follows. </w:t>
      </w:r>
    </w:p>
    <w:p w14:paraId="5C779467" w14:textId="77777777" w:rsidR="00246D25" w:rsidRPr="00B3406C" w:rsidRDefault="00246D25" w:rsidP="00A728A3">
      <w:pPr>
        <w:pStyle w:val="ListParagraph"/>
        <w:ind w:left="1080"/>
        <w:jc w:val="both"/>
        <w:rPr>
          <w:rFonts w:cstheme="minorHAnsi"/>
        </w:rPr>
      </w:pPr>
    </w:p>
    <w:p w14:paraId="5E069638" w14:textId="4BAE7944" w:rsidR="00E91F4F" w:rsidRPr="001E699F" w:rsidRDefault="00FA3718" w:rsidP="00E91F4F">
      <w:pPr>
        <w:pStyle w:val="ListParagraph"/>
        <w:numPr>
          <w:ilvl w:val="0"/>
          <w:numId w:val="30"/>
        </w:numPr>
        <w:spacing w:after="0" w:line="240" w:lineRule="auto"/>
        <w:jc w:val="both"/>
      </w:pPr>
      <w:r w:rsidRPr="00E91F4F">
        <w:rPr>
          <w:rFonts w:cstheme="minorHAnsi"/>
          <w:b/>
          <w:bCs/>
        </w:rPr>
        <w:t xml:space="preserve">Entries Made to </w:t>
      </w:r>
      <w:bookmarkStart w:id="2" w:name="_Hlk122959562"/>
      <w:r w:rsidRPr="00E91F4F">
        <w:rPr>
          <w:rFonts w:cstheme="minorHAnsi"/>
          <w:b/>
          <w:bCs/>
        </w:rPr>
        <w:t>Unusual Accounts</w:t>
      </w:r>
      <w:bookmarkEnd w:id="2"/>
      <w:r w:rsidRPr="00E91F4F">
        <w:rPr>
          <w:rFonts w:cstheme="minorHAnsi"/>
          <w:b/>
          <w:bCs/>
        </w:rPr>
        <w:t>:</w:t>
      </w:r>
      <w:r w:rsidRPr="00E91F4F">
        <w:rPr>
          <w:rFonts w:cstheme="minorHAnsi"/>
        </w:rPr>
        <w:t xml:space="preserve"> </w:t>
      </w:r>
      <w:r w:rsidR="0029486E" w:rsidRPr="00E91F4F">
        <w:rPr>
          <w:rFonts w:eastAsia="Meiryo" w:cstheme="minorHAnsi"/>
        </w:rPr>
        <w:t>ET</w:t>
      </w:r>
      <w:r w:rsidR="008F0143" w:rsidRPr="00E91F4F">
        <w:rPr>
          <w:rFonts w:eastAsia="Meiryo" w:cstheme="minorHAnsi"/>
        </w:rPr>
        <w:t xml:space="preserve"> performed a detail review of</w:t>
      </w:r>
      <w:r w:rsidR="001B417F" w:rsidRPr="00E91F4F">
        <w:rPr>
          <w:rFonts w:eastAsia="Meiryo" w:cstheme="minorHAnsi"/>
        </w:rPr>
        <w:t xml:space="preserve"> list of accounts,</w:t>
      </w:r>
      <w:r w:rsidR="008F0143" w:rsidRPr="00E91F4F">
        <w:rPr>
          <w:rFonts w:eastAsia="Meiryo" w:cstheme="minorHAnsi"/>
        </w:rPr>
        <w:t xml:space="preserve"> including the account descriptions, and did not identify any account descriptions that we believed to be unusual, </w:t>
      </w:r>
      <w:r w:rsidR="00E91F4F" w:rsidRPr="00E91F4F">
        <w:rPr>
          <w:rFonts w:eastAsia="Meiryo" w:cstheme="minorHAnsi"/>
        </w:rPr>
        <w:t>unique,</w:t>
      </w:r>
      <w:r w:rsidR="008F0143" w:rsidRPr="00E91F4F">
        <w:rPr>
          <w:rFonts w:eastAsia="Meiryo" w:cstheme="minorHAnsi"/>
        </w:rPr>
        <w:t xml:space="preserve"> or inconsistent with the type of accounts the Company would have. We also reviewed the account numbers and number of entries posted to each account to identify accounts that could be unusual as a result of the account number or the activity in the account.</w:t>
      </w:r>
      <w:r w:rsidR="00E66836" w:rsidRPr="00E91F4F">
        <w:rPr>
          <w:rFonts w:eastAsia="Meiryo" w:cstheme="minorHAnsi"/>
        </w:rPr>
        <w:t xml:space="preserve"> </w:t>
      </w:r>
      <w:r w:rsidRPr="00E91F4F">
        <w:rPr>
          <w:rFonts w:cstheme="minorHAnsi"/>
        </w:rPr>
        <w:t xml:space="preserve">We have identified some keywords to ensure whether any unusual accounts exist such as </w:t>
      </w:r>
      <w:r w:rsidR="00E91F4F" w:rsidRPr="00E91F4F">
        <w:rPr>
          <w:rFonts w:cstheme="minorHAnsi"/>
          <w:b/>
          <w:bCs/>
        </w:rPr>
        <w:t>fraud, temporary, bonus, unknown, gift, government officials, bribe, Adjustment</w:t>
      </w:r>
      <w:r w:rsidR="0011255A" w:rsidRPr="00E91F4F">
        <w:rPr>
          <w:rFonts w:cstheme="minorHAnsi"/>
          <w:b/>
          <w:bCs/>
        </w:rPr>
        <w:t xml:space="preserve"> </w:t>
      </w:r>
      <w:r w:rsidR="0011255A" w:rsidRPr="00E91F4F">
        <w:rPr>
          <w:rFonts w:cstheme="minorHAnsi"/>
        </w:rPr>
        <w:t>etc</w:t>
      </w:r>
      <w:r w:rsidR="00325C8A" w:rsidRPr="00E91F4F">
        <w:rPr>
          <w:rFonts w:cstheme="minorHAnsi"/>
        </w:rPr>
        <w:t>.</w:t>
      </w:r>
      <w:r w:rsidR="009B23A4">
        <w:rPr>
          <w:rFonts w:cstheme="minorHAnsi"/>
        </w:rPr>
        <w:t xml:space="preserve"> T</w:t>
      </w:r>
      <w:r w:rsidR="00ED7349" w:rsidRPr="00E91F4F">
        <w:rPr>
          <w:rFonts w:cstheme="minorHAnsi"/>
        </w:rPr>
        <w:t xml:space="preserve">o identify the relevant account for this exception, </w:t>
      </w:r>
      <w:r w:rsidR="008D6D24">
        <w:rPr>
          <w:rFonts w:cstheme="minorHAnsi"/>
        </w:rPr>
        <w:t xml:space="preserve">we have used spotlight. </w:t>
      </w:r>
      <w:r w:rsidR="00232F9E">
        <w:rPr>
          <w:rFonts w:cstheme="minorHAnsi"/>
        </w:rPr>
        <w:t xml:space="preserve">Spotlight has </w:t>
      </w:r>
      <w:r w:rsidR="00E66836" w:rsidRPr="00E91F4F">
        <w:rPr>
          <w:rFonts w:cstheme="minorHAnsi"/>
        </w:rPr>
        <w:t xml:space="preserve">found </w:t>
      </w:r>
      <w:r w:rsidR="002C617A">
        <w:rPr>
          <w:rFonts w:cstheme="minorHAnsi"/>
        </w:rPr>
        <w:t>20</w:t>
      </w:r>
      <w:r w:rsidR="00E66836" w:rsidRPr="00E91F4F">
        <w:rPr>
          <w:rFonts w:cstheme="minorHAnsi"/>
        </w:rPr>
        <w:t xml:space="preserve"> exception</w:t>
      </w:r>
      <w:r w:rsidR="00E91F4F" w:rsidRPr="00E91F4F">
        <w:rPr>
          <w:rFonts w:cstheme="minorHAnsi"/>
        </w:rPr>
        <w:t>s</w:t>
      </w:r>
      <w:r w:rsidR="008D6D24">
        <w:rPr>
          <w:rFonts w:cstheme="minorHAnsi"/>
        </w:rPr>
        <w:t xml:space="preserve"> under these criteria</w:t>
      </w:r>
      <w:r w:rsidR="00ED7349" w:rsidRPr="00E91F4F">
        <w:rPr>
          <w:rFonts w:cstheme="minorHAnsi"/>
        </w:rPr>
        <w:t xml:space="preserve">. </w:t>
      </w:r>
      <w:r w:rsidR="00E91F4F" w:rsidRPr="001E699F">
        <w:t>We have analyzed the exception items and discussed with Management to understand the nature of transaction</w:t>
      </w:r>
      <w:r w:rsidR="00E91F4F">
        <w:t>s</w:t>
      </w:r>
      <w:r w:rsidR="00E91F4F" w:rsidRPr="001E699F">
        <w:t xml:space="preserve"> and </w:t>
      </w:r>
      <w:r w:rsidR="00E91F4F">
        <w:t>their</w:t>
      </w:r>
      <w:r w:rsidR="00E91F4F" w:rsidRPr="001E699F">
        <w:t xml:space="preserve"> business rationale. Based on our understanding and discussion with Management, we scoped out </w:t>
      </w:r>
      <w:r w:rsidR="002C617A">
        <w:t>10</w:t>
      </w:r>
      <w:r w:rsidR="00E91F4F" w:rsidRPr="001E699F">
        <w:t xml:space="preserve"> items and selected </w:t>
      </w:r>
      <w:r w:rsidR="002C617A">
        <w:t>10</w:t>
      </w:r>
      <w:r w:rsidR="00E91F4F" w:rsidRPr="001E699F">
        <w:t xml:space="preserve"> items for substantive testing. </w:t>
      </w:r>
      <w:r w:rsidR="00E91F4F">
        <w:rPr>
          <w:rFonts w:cstheme="minorHAnsi"/>
        </w:rPr>
        <w:t xml:space="preserve">Refer to </w:t>
      </w:r>
      <w:r w:rsidR="00E91F4F" w:rsidRPr="00427CF4">
        <w:rPr>
          <w:rFonts w:cstheme="minorHAnsi"/>
          <w:b/>
          <w:bCs/>
          <w:color w:val="0070C0"/>
        </w:rPr>
        <w:t xml:space="preserve">WP </w:t>
      </w:r>
      <w:r w:rsidR="00E91F4F" w:rsidRPr="00E91F4F">
        <w:rPr>
          <w:rFonts w:cstheme="minorHAnsi"/>
          <w:b/>
          <w:bCs/>
          <w:color w:val="0070C0"/>
        </w:rPr>
        <w:t>FSL.P01.2 Justification of scoped out and scoped in</w:t>
      </w:r>
      <w:r w:rsidR="00E91F4F" w:rsidRPr="001E699F">
        <w:t xml:space="preserve">. </w:t>
      </w:r>
    </w:p>
    <w:p w14:paraId="27140C50" w14:textId="3DBDC8C5" w:rsidR="00E66836" w:rsidRPr="00E91F4F" w:rsidRDefault="00E66836" w:rsidP="00E91F4F">
      <w:pPr>
        <w:pStyle w:val="ListParagraph"/>
        <w:ind w:left="1800"/>
        <w:jc w:val="both"/>
        <w:rPr>
          <w:rFonts w:cstheme="minorHAnsi"/>
        </w:rPr>
      </w:pPr>
    </w:p>
    <w:p w14:paraId="30EDCDAC" w14:textId="52183121" w:rsidR="001E699F" w:rsidRPr="009B23A4" w:rsidRDefault="00FA3718" w:rsidP="009B23A4">
      <w:pPr>
        <w:pStyle w:val="ListParagraph"/>
        <w:numPr>
          <w:ilvl w:val="0"/>
          <w:numId w:val="30"/>
        </w:numPr>
        <w:spacing w:after="0" w:line="240" w:lineRule="auto"/>
        <w:jc w:val="both"/>
        <w:rPr>
          <w:rFonts w:cstheme="minorHAnsi"/>
        </w:rPr>
      </w:pPr>
      <w:r w:rsidRPr="001E699F">
        <w:rPr>
          <w:rFonts w:cstheme="minorHAnsi"/>
          <w:b/>
          <w:bCs/>
        </w:rPr>
        <w:t>Entries Made to Seldom Used Accounts:</w:t>
      </w:r>
      <w:r w:rsidR="009B23A4">
        <w:rPr>
          <w:rFonts w:cstheme="minorHAnsi"/>
          <w:b/>
          <w:bCs/>
        </w:rPr>
        <w:t xml:space="preserve"> </w:t>
      </w:r>
      <w:r w:rsidR="009B23A4" w:rsidRPr="009B23A4">
        <w:rPr>
          <w:rFonts w:cstheme="minorHAnsi"/>
        </w:rPr>
        <w:t>The significance of the parameter was to identify all accounts number along with entries where less than 5 entries were posted on those accounts during the period. Spotlight has found 3</w:t>
      </w:r>
      <w:r w:rsidR="00E74A4F">
        <w:rPr>
          <w:rFonts w:cstheme="minorHAnsi"/>
        </w:rPr>
        <w:t>6</w:t>
      </w:r>
      <w:r w:rsidR="009B23A4" w:rsidRPr="009B23A4">
        <w:rPr>
          <w:rFonts w:cstheme="minorHAnsi"/>
        </w:rPr>
        <w:t xml:space="preserve"> exception items for which justifications are noted based on inquiry with management.</w:t>
      </w:r>
      <w:r w:rsidR="009B23A4">
        <w:rPr>
          <w:rFonts w:cstheme="minorHAnsi"/>
        </w:rPr>
        <w:t xml:space="preserve"> </w:t>
      </w:r>
      <w:r w:rsidR="009B23A4" w:rsidRPr="001E699F">
        <w:t>We have analyzed the exception items and discussed with Management to understand the nature of transaction</w:t>
      </w:r>
      <w:r w:rsidR="009B23A4">
        <w:t>s</w:t>
      </w:r>
      <w:r w:rsidR="009B23A4" w:rsidRPr="001E699F">
        <w:t xml:space="preserve"> and </w:t>
      </w:r>
      <w:r w:rsidR="009B23A4">
        <w:t>their</w:t>
      </w:r>
      <w:r w:rsidR="009B23A4" w:rsidRPr="001E699F">
        <w:t xml:space="preserve"> business rationale. Based on our understanding and discussion with Management, we scoped out </w:t>
      </w:r>
      <w:r w:rsidR="00FE2273">
        <w:t>33</w:t>
      </w:r>
      <w:r w:rsidR="009B23A4" w:rsidRPr="001E699F">
        <w:t xml:space="preserve"> items and selected </w:t>
      </w:r>
      <w:r w:rsidR="00FE2273">
        <w:t>3</w:t>
      </w:r>
      <w:r w:rsidR="009B23A4" w:rsidRPr="001E699F">
        <w:t xml:space="preserve"> items for substantive testing. </w:t>
      </w:r>
      <w:r w:rsidR="00427CF4" w:rsidRPr="009B23A4">
        <w:rPr>
          <w:rFonts w:cstheme="minorHAnsi"/>
        </w:rPr>
        <w:t xml:space="preserve">Refer to </w:t>
      </w:r>
      <w:r w:rsidR="00F65407" w:rsidRPr="009B23A4">
        <w:rPr>
          <w:rFonts w:cstheme="minorHAnsi"/>
          <w:b/>
          <w:bCs/>
          <w:color w:val="0070C0"/>
        </w:rPr>
        <w:t>WP FSL.P01.2 Justification of scoped out and scoped in</w:t>
      </w:r>
      <w:r w:rsidR="00F65407" w:rsidRPr="001E699F">
        <w:t xml:space="preserve">. </w:t>
      </w:r>
      <w:r w:rsidR="001E699F" w:rsidRPr="001E699F">
        <w:t xml:space="preserve"> </w:t>
      </w:r>
    </w:p>
    <w:p w14:paraId="060587C7" w14:textId="77777777" w:rsidR="00E66836" w:rsidRPr="00E66836" w:rsidRDefault="00E66836" w:rsidP="00E66836">
      <w:pPr>
        <w:pStyle w:val="ListParagraph"/>
        <w:ind w:left="1800"/>
        <w:jc w:val="both"/>
        <w:rPr>
          <w:rFonts w:cstheme="minorHAnsi"/>
        </w:rPr>
      </w:pPr>
    </w:p>
    <w:p w14:paraId="47B0ECD8" w14:textId="27825752" w:rsidR="001E699F" w:rsidRPr="001E699F" w:rsidRDefault="004C5C79" w:rsidP="00F65407">
      <w:pPr>
        <w:pStyle w:val="ListParagraph"/>
        <w:numPr>
          <w:ilvl w:val="0"/>
          <w:numId w:val="30"/>
        </w:numPr>
        <w:spacing w:after="0" w:line="240" w:lineRule="auto"/>
        <w:jc w:val="both"/>
      </w:pPr>
      <w:r w:rsidRPr="004C5C79">
        <w:rPr>
          <w:rFonts w:cstheme="minorHAnsi"/>
          <w:b/>
          <w:bCs/>
        </w:rPr>
        <w:t>Large Debits to Revenue During the Period</w:t>
      </w:r>
      <w:r>
        <w:rPr>
          <w:rFonts w:cstheme="minorHAnsi"/>
          <w:b/>
          <w:bCs/>
        </w:rPr>
        <w:t xml:space="preserve">: </w:t>
      </w:r>
      <w:r w:rsidR="009C084B">
        <w:rPr>
          <w:rFonts w:cstheme="minorHAnsi"/>
        </w:rPr>
        <w:t>W</w:t>
      </w:r>
      <w:r w:rsidRPr="004C5C79">
        <w:rPr>
          <w:rFonts w:cstheme="minorHAnsi"/>
        </w:rPr>
        <w:t xml:space="preserve">e have selected debits made to the revenue during the period to test the appropriateness. We have discussed with </w:t>
      </w:r>
      <w:r>
        <w:rPr>
          <w:rFonts w:cstheme="minorHAnsi"/>
        </w:rPr>
        <w:t xml:space="preserve">the </w:t>
      </w:r>
      <w:r w:rsidRPr="004C5C79">
        <w:rPr>
          <w:rFonts w:cstheme="minorHAnsi"/>
        </w:rPr>
        <w:t>management and obtained understanding that it is usual to post debit entries in revenue</w:t>
      </w:r>
      <w:r w:rsidR="009C084B">
        <w:rPr>
          <w:rFonts w:cstheme="minorHAnsi"/>
        </w:rPr>
        <w:t xml:space="preserve"> s</w:t>
      </w:r>
      <w:r w:rsidRPr="004C5C79">
        <w:rPr>
          <w:rFonts w:cstheme="minorHAnsi"/>
        </w:rPr>
        <w:t>uch as</w:t>
      </w:r>
      <w:r w:rsidR="009C084B">
        <w:rPr>
          <w:rFonts w:cstheme="minorHAnsi"/>
        </w:rPr>
        <w:t xml:space="preserve"> when unbilled revenue is reversed</w:t>
      </w:r>
      <w:r w:rsidR="001E699F">
        <w:rPr>
          <w:rFonts w:cstheme="minorHAnsi"/>
        </w:rPr>
        <w:t xml:space="preserve"> (after mont</w:t>
      </w:r>
      <w:r w:rsidR="001E699F" w:rsidRPr="00652B87">
        <w:rPr>
          <w:rFonts w:cstheme="minorHAnsi"/>
        </w:rPr>
        <w:t>h end)</w:t>
      </w:r>
      <w:r w:rsidRPr="00652B87">
        <w:rPr>
          <w:rFonts w:cstheme="minorHAnsi"/>
        </w:rPr>
        <w:t xml:space="preserve">. Upon further reviewing the </w:t>
      </w:r>
      <w:r w:rsidR="009C084B" w:rsidRPr="00652B87">
        <w:rPr>
          <w:rFonts w:cstheme="minorHAnsi"/>
        </w:rPr>
        <w:t>revenue entries</w:t>
      </w:r>
      <w:r w:rsidRPr="00652B87">
        <w:rPr>
          <w:rFonts w:cstheme="minorHAnsi"/>
        </w:rPr>
        <w:t>, we have determined a large</w:t>
      </w:r>
      <w:r w:rsidRPr="004C5C79">
        <w:rPr>
          <w:rFonts w:cstheme="minorHAnsi"/>
        </w:rPr>
        <w:t xml:space="preserve"> amount which to be debited to revenue</w:t>
      </w:r>
      <w:r w:rsidR="00232F9E">
        <w:rPr>
          <w:rFonts w:cstheme="minorHAnsi"/>
        </w:rPr>
        <w:t xml:space="preserve"> </w:t>
      </w:r>
      <w:r w:rsidR="00232F9E">
        <w:rPr>
          <w:rFonts w:ascii="Calibri" w:hAnsi="Calibri" w:cs="Calibri"/>
          <w:color w:val="000000"/>
          <w:shd w:val="clear" w:color="auto" w:fill="FFFFFF"/>
        </w:rPr>
        <w:t>within 7 days of period end</w:t>
      </w:r>
      <w:r w:rsidRPr="004C5C79">
        <w:rPr>
          <w:rFonts w:cstheme="minorHAnsi"/>
        </w:rPr>
        <w:t>.</w:t>
      </w:r>
      <w:r w:rsidR="00222EA0">
        <w:rPr>
          <w:rFonts w:cstheme="minorHAnsi"/>
        </w:rPr>
        <w:t xml:space="preserve"> To identify the relevant account for this exception,</w:t>
      </w:r>
      <w:r w:rsidR="008D6D24">
        <w:rPr>
          <w:rFonts w:cstheme="minorHAnsi"/>
        </w:rPr>
        <w:t xml:space="preserve"> we have used Spotlight.</w:t>
      </w:r>
      <w:r w:rsidR="00222EA0">
        <w:rPr>
          <w:rFonts w:cstheme="minorHAnsi"/>
        </w:rPr>
        <w:t xml:space="preserve"> </w:t>
      </w:r>
      <w:r w:rsidR="0078536A">
        <w:rPr>
          <w:rFonts w:cstheme="minorHAnsi"/>
        </w:rPr>
        <w:t xml:space="preserve">No exception </w:t>
      </w:r>
      <w:r w:rsidR="00533DEC">
        <w:rPr>
          <w:rFonts w:cstheme="minorHAnsi"/>
        </w:rPr>
        <w:t xml:space="preserve">were found. </w:t>
      </w:r>
      <w:r w:rsidR="00427CF4">
        <w:rPr>
          <w:rFonts w:cstheme="minorHAnsi"/>
        </w:rPr>
        <w:t xml:space="preserve">Refer to </w:t>
      </w:r>
      <w:r w:rsidR="00F65407" w:rsidRPr="00427CF4">
        <w:rPr>
          <w:rFonts w:cstheme="minorHAnsi"/>
          <w:b/>
          <w:bCs/>
          <w:color w:val="0070C0"/>
        </w:rPr>
        <w:t xml:space="preserve">WP </w:t>
      </w:r>
      <w:r w:rsidR="00F65407" w:rsidRPr="00E91F4F">
        <w:rPr>
          <w:rFonts w:cstheme="minorHAnsi"/>
          <w:b/>
          <w:bCs/>
          <w:color w:val="0070C0"/>
        </w:rPr>
        <w:t>FSL.P01.2 Justification of scoped out and scoped in</w:t>
      </w:r>
      <w:r w:rsidR="00F65407" w:rsidRPr="001E699F">
        <w:t>.</w:t>
      </w:r>
    </w:p>
    <w:p w14:paraId="407EE889" w14:textId="697AE59F" w:rsidR="004C5C79" w:rsidRPr="009C084B" w:rsidRDefault="004C5C79" w:rsidP="001E699F">
      <w:pPr>
        <w:pStyle w:val="ListParagraph"/>
        <w:ind w:left="1800"/>
        <w:jc w:val="both"/>
        <w:rPr>
          <w:rFonts w:cstheme="minorHAnsi"/>
          <w:b/>
          <w:bCs/>
          <w:highlight w:val="yellow"/>
        </w:rPr>
      </w:pPr>
    </w:p>
    <w:p w14:paraId="321C8063" w14:textId="2CC2FAFE" w:rsidR="001B64B4" w:rsidRDefault="004C5C79" w:rsidP="001B64B4">
      <w:pPr>
        <w:pStyle w:val="ListParagraph"/>
        <w:numPr>
          <w:ilvl w:val="0"/>
          <w:numId w:val="30"/>
        </w:numPr>
        <w:spacing w:after="0" w:line="240" w:lineRule="auto"/>
        <w:jc w:val="both"/>
      </w:pPr>
      <w:r w:rsidRPr="004C5C79">
        <w:rPr>
          <w:rFonts w:cstheme="minorHAnsi"/>
          <w:b/>
          <w:bCs/>
        </w:rPr>
        <w:t>Users with Few Postings</w:t>
      </w:r>
      <w:r>
        <w:rPr>
          <w:rFonts w:cstheme="minorHAnsi"/>
          <w:b/>
          <w:bCs/>
        </w:rPr>
        <w:t xml:space="preserve">: </w:t>
      </w:r>
      <w:r w:rsidR="00652B87" w:rsidRPr="00652B87">
        <w:rPr>
          <w:rFonts w:cstheme="minorHAnsi"/>
        </w:rPr>
        <w:t>Users with few entries</w:t>
      </w:r>
      <w:r w:rsidR="00652B87">
        <w:rPr>
          <w:rFonts w:cstheme="minorHAnsi"/>
          <w:b/>
          <w:bCs/>
        </w:rPr>
        <w:t xml:space="preserve"> </w:t>
      </w:r>
      <w:r w:rsidR="00652B87" w:rsidRPr="00D310B6">
        <w:rPr>
          <w:rFonts w:cstheme="minorHAnsi"/>
        </w:rPr>
        <w:t xml:space="preserve">give suspicion and needs to be considered as audit interest. </w:t>
      </w:r>
      <w:r w:rsidRPr="004C5C79">
        <w:rPr>
          <w:rFonts w:cstheme="minorHAnsi"/>
        </w:rPr>
        <w:t xml:space="preserve">This test identifies users who posted less than </w:t>
      </w:r>
      <w:r w:rsidR="00232F9E">
        <w:rPr>
          <w:rFonts w:cstheme="minorHAnsi"/>
        </w:rPr>
        <w:t>2</w:t>
      </w:r>
      <w:r w:rsidRPr="004C5C79">
        <w:rPr>
          <w:rFonts w:cstheme="minorHAnsi"/>
        </w:rPr>
        <w:t xml:space="preserve"> entries during the month.  </w:t>
      </w:r>
      <w:r w:rsidR="009E578E">
        <w:rPr>
          <w:rFonts w:cstheme="minorHAnsi"/>
        </w:rPr>
        <w:t xml:space="preserve">No exception was identified. </w:t>
      </w:r>
      <w:r w:rsidR="000F34A5" w:rsidRPr="001E699F">
        <w:t xml:space="preserve"> </w:t>
      </w:r>
      <w:r w:rsidR="00427CF4" w:rsidRPr="00CA1EFB">
        <w:rPr>
          <w:rFonts w:cstheme="minorHAnsi"/>
        </w:rPr>
        <w:t xml:space="preserve">Refer to </w:t>
      </w:r>
      <w:r w:rsidR="00F65407" w:rsidRPr="00427CF4">
        <w:rPr>
          <w:rFonts w:cstheme="minorHAnsi"/>
          <w:b/>
          <w:bCs/>
          <w:color w:val="0070C0"/>
        </w:rPr>
        <w:t xml:space="preserve">WP </w:t>
      </w:r>
      <w:r w:rsidR="00F65407" w:rsidRPr="00E91F4F">
        <w:rPr>
          <w:rFonts w:cstheme="minorHAnsi"/>
          <w:b/>
          <w:bCs/>
          <w:color w:val="0070C0"/>
        </w:rPr>
        <w:t>FSL.P01.2 Justification of scoped out and scoped in</w:t>
      </w:r>
      <w:r w:rsidR="00F65407" w:rsidRPr="001E699F">
        <w:t xml:space="preserve">. </w:t>
      </w:r>
    </w:p>
    <w:p w14:paraId="0A7631C1" w14:textId="77777777" w:rsidR="001B64B4" w:rsidRPr="001B64B4" w:rsidRDefault="001B64B4" w:rsidP="001B64B4">
      <w:pPr>
        <w:pStyle w:val="ListParagraph"/>
        <w:rPr>
          <w:rFonts w:cstheme="minorHAnsi"/>
          <w:b/>
          <w:bCs/>
        </w:rPr>
      </w:pPr>
    </w:p>
    <w:p w14:paraId="1C9048E7" w14:textId="3701C33F" w:rsidR="00BC55A6" w:rsidRPr="00BC55A6" w:rsidRDefault="004C5C79" w:rsidP="00BC55A6">
      <w:pPr>
        <w:pStyle w:val="ListParagraph"/>
        <w:numPr>
          <w:ilvl w:val="0"/>
          <w:numId w:val="30"/>
        </w:numPr>
        <w:spacing w:after="0" w:line="240" w:lineRule="auto"/>
        <w:jc w:val="both"/>
        <w:rPr>
          <w:rFonts w:cstheme="minorHAnsi"/>
          <w:b/>
          <w:bCs/>
        </w:rPr>
      </w:pPr>
      <w:r w:rsidRPr="001B64B4">
        <w:rPr>
          <w:rFonts w:cstheme="minorHAnsi"/>
          <w:b/>
          <w:bCs/>
        </w:rPr>
        <w:t xml:space="preserve">Users of Interest: </w:t>
      </w:r>
      <w:r w:rsidRPr="001B64B4">
        <w:rPr>
          <w:rFonts w:cstheme="minorHAnsi"/>
        </w:rPr>
        <w:t>We have inquired management to identify users of interest</w:t>
      </w:r>
      <w:r w:rsidR="005B0C56" w:rsidRPr="001B64B4">
        <w:rPr>
          <w:rFonts w:cstheme="minorHAnsi"/>
        </w:rPr>
        <w:t>.</w:t>
      </w:r>
      <w:r w:rsidR="001B64B4" w:rsidRPr="001B64B4">
        <w:rPr>
          <w:rFonts w:cstheme="minorHAnsi"/>
        </w:rPr>
        <w:t xml:space="preserve"> </w:t>
      </w:r>
      <w:r w:rsidR="001B64B4" w:rsidRPr="001B64B4">
        <w:rPr>
          <w:rFonts w:ascii="Calibri" w:hAnsi="Calibri" w:cs="Calibri"/>
          <w:color w:val="000000"/>
          <w:shd w:val="clear" w:color="auto" w:fill="FFFFFF"/>
        </w:rPr>
        <w:t>This test Identifies journals based on the user</w:t>
      </w:r>
      <w:r w:rsidR="00B106F3">
        <w:rPr>
          <w:rFonts w:ascii="Calibri" w:hAnsi="Calibri" w:cs="Calibri"/>
          <w:color w:val="000000"/>
          <w:shd w:val="clear" w:color="auto" w:fill="FFFFFF"/>
        </w:rPr>
        <w:t xml:space="preserve"> </w:t>
      </w:r>
      <w:r w:rsidR="001B64B4" w:rsidRPr="001B64B4">
        <w:rPr>
          <w:rFonts w:ascii="Calibri" w:hAnsi="Calibri" w:cs="Calibri"/>
          <w:color w:val="000000"/>
          <w:shd w:val="clear" w:color="auto" w:fill="FFFFFF"/>
        </w:rPr>
        <w:t>ID (</w:t>
      </w:r>
      <w:r w:rsidR="001B64B4" w:rsidRPr="001B64B4">
        <w:rPr>
          <w:rFonts w:ascii="Calibri" w:eastAsia="Times New Roman" w:hAnsi="Calibri" w:cs="Calibri"/>
          <w:color w:val="000000"/>
        </w:rPr>
        <w:t xml:space="preserve">EGMFIN03, EGMFIN01) </w:t>
      </w:r>
      <w:r w:rsidR="001B64B4" w:rsidRPr="001B64B4">
        <w:rPr>
          <w:rFonts w:ascii="Calibri" w:hAnsi="Calibri" w:cs="Calibri"/>
          <w:color w:val="000000"/>
          <w:shd w:val="clear" w:color="auto" w:fill="FFFFFF"/>
        </w:rPr>
        <w:t>of the user who entered it.</w:t>
      </w:r>
      <w:r w:rsidR="000F34A5" w:rsidRPr="001B64B4">
        <w:rPr>
          <w:rFonts w:cstheme="minorHAnsi"/>
        </w:rPr>
        <w:t xml:space="preserve"> </w:t>
      </w:r>
      <w:r w:rsidR="001B64B4" w:rsidRPr="001B64B4">
        <w:rPr>
          <w:rFonts w:cstheme="minorHAnsi"/>
        </w:rPr>
        <w:t>Spotlight ha</w:t>
      </w:r>
      <w:r w:rsidR="001B64B4">
        <w:rPr>
          <w:rFonts w:cstheme="minorHAnsi"/>
        </w:rPr>
        <w:t xml:space="preserve">s not found </w:t>
      </w:r>
      <w:r w:rsidR="008E1C9B">
        <w:rPr>
          <w:rFonts w:cstheme="minorHAnsi"/>
        </w:rPr>
        <w:t>any exceptional entry.</w:t>
      </w:r>
      <w:r w:rsidR="001B64B4">
        <w:rPr>
          <w:rFonts w:cstheme="minorHAnsi"/>
        </w:rPr>
        <w:t xml:space="preserve"> </w:t>
      </w:r>
      <w:r w:rsidR="001B64B4" w:rsidRPr="00CA1EFB">
        <w:rPr>
          <w:rFonts w:cstheme="minorHAnsi"/>
        </w:rPr>
        <w:t xml:space="preserve">Refer to </w:t>
      </w:r>
      <w:r w:rsidR="001B64B4" w:rsidRPr="00427CF4">
        <w:rPr>
          <w:rFonts w:cstheme="minorHAnsi"/>
          <w:b/>
          <w:bCs/>
          <w:color w:val="0070C0"/>
        </w:rPr>
        <w:t xml:space="preserve">WP </w:t>
      </w:r>
      <w:r w:rsidR="001B64B4" w:rsidRPr="00E91F4F">
        <w:rPr>
          <w:rFonts w:cstheme="minorHAnsi"/>
          <w:b/>
          <w:bCs/>
          <w:color w:val="0070C0"/>
        </w:rPr>
        <w:t>FSL.P01.2 Justification of scoped out and scoped in</w:t>
      </w:r>
      <w:r w:rsidR="001B64B4">
        <w:rPr>
          <w:rFonts w:cstheme="minorHAnsi"/>
          <w:b/>
          <w:bCs/>
          <w:color w:val="0070C0"/>
        </w:rPr>
        <w:t>.</w:t>
      </w:r>
    </w:p>
    <w:p w14:paraId="66499304" w14:textId="77777777" w:rsidR="00BC55A6" w:rsidRPr="00BC55A6" w:rsidRDefault="00BC55A6" w:rsidP="00BC55A6">
      <w:pPr>
        <w:pStyle w:val="ListParagraph"/>
        <w:rPr>
          <w:rFonts w:cstheme="minorHAnsi"/>
          <w:b/>
          <w:bCs/>
        </w:rPr>
      </w:pPr>
    </w:p>
    <w:p w14:paraId="0B05053C" w14:textId="77777777" w:rsidR="00BC55A6" w:rsidRPr="00BC55A6" w:rsidRDefault="00D310B6" w:rsidP="00BC55A6">
      <w:pPr>
        <w:pStyle w:val="ListParagraph"/>
        <w:numPr>
          <w:ilvl w:val="0"/>
          <w:numId w:val="30"/>
        </w:numPr>
        <w:spacing w:after="0" w:line="240" w:lineRule="auto"/>
        <w:jc w:val="both"/>
        <w:rPr>
          <w:rFonts w:cstheme="minorHAnsi"/>
          <w:b/>
          <w:bCs/>
        </w:rPr>
      </w:pPr>
      <w:r w:rsidRPr="00BC55A6">
        <w:rPr>
          <w:rFonts w:cstheme="minorHAnsi"/>
          <w:b/>
          <w:bCs/>
        </w:rPr>
        <w:t>Entries Posted on</w:t>
      </w:r>
      <w:r w:rsidR="00BC55A6" w:rsidRPr="00BC55A6">
        <w:rPr>
          <w:rFonts w:cstheme="minorHAnsi"/>
          <w:b/>
          <w:bCs/>
        </w:rPr>
        <w:t xml:space="preserve"> </w:t>
      </w:r>
      <w:r w:rsidR="001B64B4" w:rsidRPr="00BC55A6">
        <w:rPr>
          <w:rFonts w:cstheme="minorHAnsi"/>
          <w:b/>
          <w:bCs/>
        </w:rPr>
        <w:t>weekends and holidays</w:t>
      </w:r>
      <w:r w:rsidRPr="00BC55A6">
        <w:rPr>
          <w:rFonts w:cstheme="minorHAnsi"/>
          <w:b/>
          <w:bCs/>
        </w:rPr>
        <w:t xml:space="preserve">: </w:t>
      </w:r>
      <w:r w:rsidR="00BC55A6" w:rsidRPr="00BC55A6">
        <w:rPr>
          <w:rFonts w:ascii="Calibri" w:eastAsia="Times New Roman" w:hAnsi="Calibri" w:cs="Calibri"/>
          <w:color w:val="000000"/>
        </w:rPr>
        <w:t>Due to home office and Covid situation most of the weekend finance team of the client office was doing work specially at the month. We have analyzed most of the transactions and did not notice any unusual transactions recorded on those weekend transactions.</w:t>
      </w:r>
    </w:p>
    <w:p w14:paraId="5AA68651" w14:textId="77777777" w:rsidR="00BC55A6" w:rsidRPr="00BC55A6" w:rsidRDefault="00BC55A6" w:rsidP="00BC55A6">
      <w:pPr>
        <w:pStyle w:val="ListParagraph"/>
        <w:rPr>
          <w:rFonts w:ascii="Calibri" w:eastAsia="Times New Roman" w:hAnsi="Calibri" w:cs="Calibri"/>
          <w:color w:val="000000"/>
        </w:rPr>
      </w:pPr>
    </w:p>
    <w:p w14:paraId="68ED7834" w14:textId="39FA299F" w:rsidR="00C137BB" w:rsidRDefault="00BC55A6" w:rsidP="00BC55A6">
      <w:pPr>
        <w:pStyle w:val="ListParagraph"/>
        <w:spacing w:after="0" w:line="240" w:lineRule="auto"/>
        <w:ind w:left="1800"/>
        <w:jc w:val="both"/>
        <w:rPr>
          <w:rFonts w:ascii="Calibri" w:eastAsia="Times New Roman" w:hAnsi="Calibri" w:cs="Calibri"/>
          <w:color w:val="000000"/>
        </w:rPr>
      </w:pPr>
      <w:r w:rsidRPr="00BC55A6">
        <w:rPr>
          <w:rFonts w:ascii="Calibri" w:eastAsia="Times New Roman" w:hAnsi="Calibri" w:cs="Calibri"/>
          <w:color w:val="000000"/>
        </w:rPr>
        <w:lastRenderedPageBreak/>
        <w:t>From our assessment, we found that the transaction is reasonable, these have</w:t>
      </w:r>
      <w:r>
        <w:rPr>
          <w:rFonts w:ascii="Calibri" w:eastAsia="Times New Roman" w:hAnsi="Calibri" w:cs="Calibri"/>
          <w:color w:val="000000"/>
        </w:rPr>
        <w:t xml:space="preserve"> </w:t>
      </w:r>
      <w:r w:rsidRPr="00BC55A6">
        <w:rPr>
          <w:rFonts w:ascii="Calibri" w:eastAsia="Times New Roman" w:hAnsi="Calibri" w:cs="Calibri"/>
          <w:color w:val="000000"/>
        </w:rPr>
        <w:t>bee</w:t>
      </w:r>
      <w:r>
        <w:rPr>
          <w:rFonts w:ascii="Calibri" w:eastAsia="Times New Roman" w:hAnsi="Calibri" w:cs="Calibri"/>
          <w:color w:val="000000"/>
        </w:rPr>
        <w:t>n</w:t>
      </w:r>
      <w:r w:rsidRPr="00BC55A6">
        <w:rPr>
          <w:rFonts w:ascii="Calibri" w:eastAsia="Times New Roman" w:hAnsi="Calibri" w:cs="Calibri"/>
          <w:color w:val="000000"/>
        </w:rPr>
        <w:t xml:space="preserve"> incurred for the normal course of business and did not find any management override on the transactions. Hence, we have not selected for testing.</w:t>
      </w:r>
    </w:p>
    <w:p w14:paraId="4D1B88EF" w14:textId="77777777" w:rsidR="00BC55A6" w:rsidRPr="00BC55A6" w:rsidRDefault="00BC55A6" w:rsidP="00BC55A6">
      <w:pPr>
        <w:pStyle w:val="ListParagraph"/>
        <w:spacing w:after="0" w:line="240" w:lineRule="auto"/>
        <w:ind w:left="1800"/>
        <w:jc w:val="both"/>
        <w:rPr>
          <w:rFonts w:ascii="Calibri" w:eastAsia="Times New Roman" w:hAnsi="Calibri" w:cs="Calibri"/>
          <w:color w:val="000000"/>
        </w:rPr>
      </w:pPr>
    </w:p>
    <w:p w14:paraId="73A4DA8F" w14:textId="766F978D" w:rsidR="00907E74" w:rsidRDefault="00D310B6" w:rsidP="00F65407">
      <w:pPr>
        <w:pStyle w:val="ListParagraph"/>
        <w:numPr>
          <w:ilvl w:val="0"/>
          <w:numId w:val="30"/>
        </w:numPr>
        <w:spacing w:after="0" w:line="240" w:lineRule="auto"/>
        <w:jc w:val="both"/>
      </w:pPr>
      <w:r w:rsidRPr="006B32AB">
        <w:rPr>
          <w:rFonts w:cstheme="minorHAnsi"/>
          <w:b/>
          <w:bCs/>
        </w:rPr>
        <w:t xml:space="preserve">Entries with Round Amounts: </w:t>
      </w:r>
      <w:r w:rsidRPr="006B32AB">
        <w:rPr>
          <w:rFonts w:cstheme="minorHAnsi"/>
        </w:rPr>
        <w:t xml:space="preserve">The </w:t>
      </w:r>
      <w:r w:rsidR="00BC55A6">
        <w:rPr>
          <w:rFonts w:cstheme="minorHAnsi"/>
        </w:rPr>
        <w:t>c</w:t>
      </w:r>
      <w:r w:rsidRPr="006B32AB">
        <w:rPr>
          <w:rFonts w:cstheme="minorHAnsi"/>
        </w:rPr>
        <w:t xml:space="preserve">ompany regularly process amounts for round numbers and </w:t>
      </w:r>
      <w:r w:rsidR="00A95005" w:rsidRPr="006B32AB">
        <w:rPr>
          <w:rFonts w:cstheme="minorHAnsi"/>
        </w:rPr>
        <w:t xml:space="preserve">so this always could not be indicative of a potentially inappropriate entry by management. </w:t>
      </w:r>
      <w:r w:rsidRPr="006B32AB">
        <w:rPr>
          <w:rFonts w:cstheme="minorHAnsi"/>
        </w:rPr>
        <w:t xml:space="preserve">This is usual for this entity to have abundant transactions in round amounts. Based on our inquiry with </w:t>
      </w:r>
      <w:r w:rsidR="00376E3B" w:rsidRPr="006B32AB">
        <w:rPr>
          <w:rFonts w:cstheme="minorHAnsi"/>
        </w:rPr>
        <w:t xml:space="preserve">the </w:t>
      </w:r>
      <w:r w:rsidRPr="006B32AB">
        <w:rPr>
          <w:rFonts w:cstheme="minorHAnsi"/>
        </w:rPr>
        <w:t xml:space="preserve">management, we have considered amounts </w:t>
      </w:r>
      <w:r w:rsidR="004E007F">
        <w:rPr>
          <w:rFonts w:cstheme="minorHAnsi"/>
        </w:rPr>
        <w:t>with</w:t>
      </w:r>
      <w:r w:rsidRPr="006B32AB">
        <w:rPr>
          <w:rFonts w:cstheme="minorHAnsi"/>
        </w:rPr>
        <w:t xml:space="preserve"> </w:t>
      </w:r>
      <w:r w:rsidR="004E007F">
        <w:rPr>
          <w:rFonts w:ascii="Calibri" w:hAnsi="Calibri" w:cs="Calibri"/>
          <w:color w:val="000000"/>
          <w:shd w:val="clear" w:color="auto" w:fill="FFFFFF"/>
        </w:rPr>
        <w:t xml:space="preserve">more than 7 rounding digits for </w:t>
      </w:r>
      <w:r w:rsidRPr="006B32AB">
        <w:rPr>
          <w:rFonts w:cstheme="minorHAnsi"/>
        </w:rPr>
        <w:t xml:space="preserve">our testing. </w:t>
      </w:r>
      <w:r w:rsidR="004E007F">
        <w:rPr>
          <w:rFonts w:cstheme="minorHAnsi"/>
        </w:rPr>
        <w:t xml:space="preserve">Spotlight </w:t>
      </w:r>
      <w:r w:rsidR="006B32AB" w:rsidRPr="006B32AB">
        <w:rPr>
          <w:rFonts w:cstheme="minorHAnsi"/>
        </w:rPr>
        <w:t>ha</w:t>
      </w:r>
      <w:r w:rsidR="004E007F">
        <w:rPr>
          <w:rFonts w:cstheme="minorHAnsi"/>
        </w:rPr>
        <w:t>s</w:t>
      </w:r>
      <w:r w:rsidR="006B32AB" w:rsidRPr="006B32AB">
        <w:rPr>
          <w:rFonts w:cstheme="minorHAnsi"/>
        </w:rPr>
        <w:t xml:space="preserve"> </w:t>
      </w:r>
      <w:r w:rsidR="00A30FA0">
        <w:rPr>
          <w:rFonts w:cstheme="minorHAnsi"/>
        </w:rPr>
        <w:t>found</w:t>
      </w:r>
      <w:r w:rsidR="006B32AB" w:rsidRPr="006B32AB">
        <w:rPr>
          <w:rFonts w:cstheme="minorHAnsi"/>
        </w:rPr>
        <w:t xml:space="preserve"> </w:t>
      </w:r>
      <w:r w:rsidR="00AB03C3">
        <w:rPr>
          <w:rFonts w:cstheme="minorHAnsi"/>
        </w:rPr>
        <w:t>46</w:t>
      </w:r>
      <w:r w:rsidR="006B32AB" w:rsidRPr="006B32AB">
        <w:rPr>
          <w:rFonts w:cstheme="minorHAnsi"/>
        </w:rPr>
        <w:t xml:space="preserve"> entries under this exception. </w:t>
      </w:r>
      <w:r w:rsidR="006B32AB" w:rsidRPr="001E699F">
        <w:t>We have analyzed the exception items and discussed with Management to understand the nature of transaction</w:t>
      </w:r>
      <w:r w:rsidR="006B32AB">
        <w:t>s</w:t>
      </w:r>
      <w:r w:rsidR="006B32AB" w:rsidRPr="001E699F">
        <w:t xml:space="preserve"> and </w:t>
      </w:r>
      <w:r w:rsidR="006B32AB">
        <w:t>their</w:t>
      </w:r>
      <w:r w:rsidR="006B32AB" w:rsidRPr="001E699F">
        <w:t xml:space="preserve"> business rationale. Based on our understanding and discussion with Management, we scoped out </w:t>
      </w:r>
      <w:r w:rsidR="00AB03C3">
        <w:t>44</w:t>
      </w:r>
      <w:r w:rsidR="006B32AB" w:rsidRPr="001E699F">
        <w:t xml:space="preserve"> items and selected </w:t>
      </w:r>
      <w:r w:rsidR="004A2F6B">
        <w:t>2</w:t>
      </w:r>
      <w:r w:rsidR="006B32AB" w:rsidRPr="001E699F">
        <w:t xml:space="preserve"> item</w:t>
      </w:r>
      <w:r w:rsidR="00A30FA0">
        <w:t>s</w:t>
      </w:r>
      <w:r w:rsidR="006B32AB" w:rsidRPr="001E699F">
        <w:t xml:space="preserve"> for substantive testing. </w:t>
      </w:r>
      <w:r w:rsidR="006B32AB">
        <w:rPr>
          <w:rFonts w:cstheme="minorHAnsi"/>
        </w:rPr>
        <w:t xml:space="preserve">Refer to </w:t>
      </w:r>
      <w:r w:rsidR="00F65407" w:rsidRPr="00427CF4">
        <w:rPr>
          <w:rFonts w:cstheme="minorHAnsi"/>
          <w:b/>
          <w:bCs/>
          <w:color w:val="0070C0"/>
        </w:rPr>
        <w:t xml:space="preserve">WP </w:t>
      </w:r>
      <w:r w:rsidR="00F65407" w:rsidRPr="00E91F4F">
        <w:rPr>
          <w:rFonts w:cstheme="minorHAnsi"/>
          <w:b/>
          <w:bCs/>
          <w:color w:val="0070C0"/>
        </w:rPr>
        <w:t>FSL.P01.2 Justification of scoped out and scoped in</w:t>
      </w:r>
      <w:r w:rsidR="00F65407" w:rsidRPr="001E699F">
        <w:t>.</w:t>
      </w:r>
    </w:p>
    <w:p w14:paraId="28CE810B" w14:textId="77777777" w:rsidR="00E10DF6" w:rsidRDefault="00E10DF6" w:rsidP="00E10DF6">
      <w:pPr>
        <w:pStyle w:val="ListParagraph"/>
        <w:spacing w:after="0" w:line="240" w:lineRule="auto"/>
        <w:ind w:left="1800"/>
        <w:jc w:val="both"/>
      </w:pPr>
    </w:p>
    <w:p w14:paraId="45B8FE73" w14:textId="55BE90E0" w:rsidR="00BC55A6" w:rsidRPr="00F65407" w:rsidRDefault="00BC55A6" w:rsidP="00E10DF6">
      <w:pPr>
        <w:pStyle w:val="ListParagraph"/>
        <w:numPr>
          <w:ilvl w:val="0"/>
          <w:numId w:val="30"/>
        </w:numPr>
        <w:spacing w:after="0" w:line="240" w:lineRule="auto"/>
        <w:jc w:val="both"/>
      </w:pPr>
      <w:r w:rsidRPr="006B32AB">
        <w:rPr>
          <w:rFonts w:cstheme="minorHAnsi"/>
          <w:b/>
          <w:bCs/>
        </w:rPr>
        <w:t>Entries with</w:t>
      </w:r>
      <w:r>
        <w:rPr>
          <w:rFonts w:cstheme="minorHAnsi"/>
          <w:b/>
          <w:bCs/>
        </w:rPr>
        <w:t xml:space="preserve"> </w:t>
      </w:r>
      <w:r w:rsidRPr="006B32AB">
        <w:rPr>
          <w:rFonts w:cstheme="minorHAnsi"/>
          <w:b/>
          <w:bCs/>
        </w:rPr>
        <w:t xml:space="preserve">Recurring Ending Digits: </w:t>
      </w:r>
      <w:r w:rsidRPr="006B32AB">
        <w:rPr>
          <w:rFonts w:cstheme="minorHAnsi"/>
        </w:rPr>
        <w:t xml:space="preserve">The Company may process amounts for recurring ending digits, for example, while calculating the revenue or expenses, it is usual to have several decimal places as recurring digits, so this always could not be indicative of a potentially inappropriate entry by management. Therefore, large entries with recurring ending digits may be unusual. We have considered </w:t>
      </w:r>
      <w:r w:rsidR="00E10DF6">
        <w:rPr>
          <w:rFonts w:cstheme="minorHAnsi"/>
        </w:rPr>
        <w:t>5</w:t>
      </w:r>
      <w:r w:rsidRPr="006B32AB">
        <w:rPr>
          <w:rFonts w:cstheme="minorHAnsi"/>
        </w:rPr>
        <w:t xml:space="preserve"> Digit recurring which have occurred into the JE Dump. </w:t>
      </w:r>
      <w:r w:rsidR="00061D6E">
        <w:rPr>
          <w:rFonts w:cstheme="minorHAnsi"/>
        </w:rPr>
        <w:t>No exception wer</w:t>
      </w:r>
      <w:r w:rsidR="00826DA2">
        <w:rPr>
          <w:rFonts w:cstheme="minorHAnsi"/>
        </w:rPr>
        <w:t xml:space="preserve">e identified. </w:t>
      </w:r>
      <w:r>
        <w:rPr>
          <w:rFonts w:cstheme="minorHAnsi"/>
        </w:rPr>
        <w:t xml:space="preserve">Refer to </w:t>
      </w:r>
      <w:r w:rsidRPr="00427CF4">
        <w:rPr>
          <w:rFonts w:cstheme="minorHAnsi"/>
          <w:b/>
          <w:bCs/>
          <w:color w:val="0070C0"/>
        </w:rPr>
        <w:t xml:space="preserve">WP </w:t>
      </w:r>
      <w:r w:rsidRPr="00E91F4F">
        <w:rPr>
          <w:rFonts w:cstheme="minorHAnsi"/>
          <w:b/>
          <w:bCs/>
          <w:color w:val="0070C0"/>
        </w:rPr>
        <w:t>FSL.P01.2 Justification of scoped out and scoped in</w:t>
      </w:r>
      <w:r w:rsidRPr="001E699F">
        <w:t xml:space="preserve">. </w:t>
      </w:r>
    </w:p>
    <w:p w14:paraId="32B3CA33" w14:textId="393C797B" w:rsidR="00000F84" w:rsidRPr="006B32AB" w:rsidRDefault="00000F84" w:rsidP="00000F84">
      <w:pPr>
        <w:pStyle w:val="ListParagraph"/>
        <w:ind w:left="1800"/>
        <w:jc w:val="both"/>
        <w:rPr>
          <w:rFonts w:cstheme="minorHAnsi"/>
          <w:b/>
          <w:bCs/>
        </w:rPr>
      </w:pPr>
    </w:p>
    <w:p w14:paraId="776667AE" w14:textId="31C531A2" w:rsidR="00EF0313" w:rsidRPr="00907E74" w:rsidRDefault="00E10DF6" w:rsidP="00907E74">
      <w:pPr>
        <w:pStyle w:val="ListParagraph"/>
        <w:numPr>
          <w:ilvl w:val="0"/>
          <w:numId w:val="30"/>
        </w:numPr>
        <w:jc w:val="both"/>
        <w:rPr>
          <w:rFonts w:cstheme="minorHAnsi"/>
          <w:b/>
          <w:bCs/>
        </w:rPr>
      </w:pPr>
      <w:bookmarkStart w:id="3" w:name="_Hlk122959786"/>
      <w:r w:rsidRPr="00E10DF6">
        <w:rPr>
          <w:rFonts w:cstheme="minorHAnsi"/>
          <w:b/>
          <w:bCs/>
        </w:rPr>
        <w:t>Largest journal lines</w:t>
      </w:r>
      <w:bookmarkEnd w:id="3"/>
      <w:r w:rsidR="00376E3B" w:rsidRPr="00907E74">
        <w:rPr>
          <w:rFonts w:cstheme="minorHAnsi"/>
          <w:b/>
          <w:bCs/>
        </w:rPr>
        <w:t xml:space="preserve">: </w:t>
      </w:r>
      <w:r>
        <w:rPr>
          <w:rFonts w:ascii="Calibri" w:hAnsi="Calibri" w:cs="Calibri"/>
          <w:color w:val="000000"/>
          <w:shd w:val="clear" w:color="auto" w:fill="FFFFFF"/>
        </w:rPr>
        <w:t xml:space="preserve">This test may give us entries which is unusually large and relates to fraudulent entries. For this reason, we have considered the entries made with top X largest values (X is Performance materiality amount: </w:t>
      </w:r>
      <w:r w:rsidR="0011395C">
        <w:rPr>
          <w:rFonts w:ascii="Calibri" w:hAnsi="Calibri" w:cs="Calibri"/>
          <w:color w:val="000000"/>
          <w:shd w:val="clear" w:color="auto" w:fill="FFFFFF"/>
        </w:rPr>
        <w:t>USD 976</w:t>
      </w:r>
      <w:r>
        <w:rPr>
          <w:rFonts w:ascii="Calibri" w:hAnsi="Calibri" w:cs="Calibri"/>
          <w:color w:val="000000"/>
          <w:shd w:val="clear" w:color="auto" w:fill="FFFFFF"/>
        </w:rPr>
        <w:t>,</w:t>
      </w:r>
      <w:r w:rsidR="0011395C">
        <w:rPr>
          <w:rFonts w:ascii="Calibri" w:hAnsi="Calibri" w:cs="Calibri"/>
          <w:color w:val="000000"/>
          <w:shd w:val="clear" w:color="auto" w:fill="FFFFFF"/>
        </w:rPr>
        <w:t>5</w:t>
      </w:r>
      <w:r>
        <w:rPr>
          <w:rFonts w:ascii="Calibri" w:hAnsi="Calibri" w:cs="Calibri"/>
          <w:color w:val="000000"/>
          <w:shd w:val="clear" w:color="auto" w:fill="FFFFFF"/>
        </w:rPr>
        <w:t>00)</w:t>
      </w:r>
      <w:r w:rsidR="00EF0313" w:rsidRPr="00907E74">
        <w:rPr>
          <w:rFonts w:cstheme="minorHAnsi"/>
        </w:rPr>
        <w:t xml:space="preserve">. </w:t>
      </w:r>
      <w:r w:rsidR="00C771FB">
        <w:rPr>
          <w:rFonts w:cstheme="minorHAnsi"/>
        </w:rPr>
        <w:t>To identify the relevant entry for this exception, Spotlight</w:t>
      </w:r>
      <w:r w:rsidR="00C771FB" w:rsidRPr="000F34A5">
        <w:rPr>
          <w:rFonts w:cstheme="minorHAnsi"/>
        </w:rPr>
        <w:t xml:space="preserve"> ha</w:t>
      </w:r>
      <w:r w:rsidR="00C771FB">
        <w:rPr>
          <w:rFonts w:cstheme="minorHAnsi"/>
        </w:rPr>
        <w:t xml:space="preserve">s found </w:t>
      </w:r>
      <w:r w:rsidR="001F1232">
        <w:rPr>
          <w:rFonts w:cstheme="minorHAnsi"/>
        </w:rPr>
        <w:t>4</w:t>
      </w:r>
      <w:r w:rsidR="00C771FB">
        <w:rPr>
          <w:rFonts w:cstheme="minorHAnsi"/>
        </w:rPr>
        <w:t xml:space="preserve">5 entries under this exception. </w:t>
      </w:r>
      <w:r w:rsidR="00C771FB" w:rsidRPr="001E699F">
        <w:t>We have analyzed the exception items and discussed with Management to understand the nature of transaction</w:t>
      </w:r>
      <w:r w:rsidR="00C771FB">
        <w:t>s</w:t>
      </w:r>
      <w:r w:rsidR="00C771FB" w:rsidRPr="001E699F">
        <w:t xml:space="preserve"> and </w:t>
      </w:r>
      <w:r w:rsidR="00C771FB">
        <w:t>their</w:t>
      </w:r>
      <w:r w:rsidR="00C771FB" w:rsidRPr="001E699F">
        <w:t xml:space="preserve"> business rationale. Based on our understanding and discussion with Management, we scoped out </w:t>
      </w:r>
      <w:r w:rsidR="00F904CA">
        <w:t>42</w:t>
      </w:r>
      <w:r w:rsidR="00C771FB" w:rsidRPr="001E699F">
        <w:t xml:space="preserve"> items and selected </w:t>
      </w:r>
      <w:r w:rsidR="00F904CA">
        <w:t>3</w:t>
      </w:r>
      <w:r w:rsidR="00C771FB" w:rsidRPr="001E699F">
        <w:t xml:space="preserve"> items for substantive testing. </w:t>
      </w:r>
      <w:r w:rsidR="00C771FB" w:rsidRPr="00CA1EFB">
        <w:rPr>
          <w:rFonts w:cstheme="minorHAnsi"/>
        </w:rPr>
        <w:t xml:space="preserve">Refer to </w:t>
      </w:r>
      <w:r w:rsidR="00C771FB" w:rsidRPr="00427CF4">
        <w:rPr>
          <w:rFonts w:cstheme="minorHAnsi"/>
          <w:b/>
          <w:bCs/>
          <w:color w:val="0070C0"/>
        </w:rPr>
        <w:t xml:space="preserve">WP </w:t>
      </w:r>
      <w:r w:rsidR="00C771FB" w:rsidRPr="00E91F4F">
        <w:rPr>
          <w:rFonts w:cstheme="minorHAnsi"/>
          <w:b/>
          <w:bCs/>
          <w:color w:val="0070C0"/>
        </w:rPr>
        <w:t>FSL.P01.2 Justification of scoped out and scoped in</w:t>
      </w:r>
      <w:r w:rsidR="00C771FB" w:rsidRPr="001E699F">
        <w:t>.</w:t>
      </w:r>
    </w:p>
    <w:p w14:paraId="49C3C69C" w14:textId="77B881A1" w:rsidR="00376E3B" w:rsidRPr="00EF0313" w:rsidRDefault="00376E3B" w:rsidP="0011395C">
      <w:pPr>
        <w:pStyle w:val="ListParagraph"/>
        <w:ind w:left="2160"/>
        <w:jc w:val="both"/>
        <w:rPr>
          <w:rFonts w:cstheme="minorHAnsi"/>
          <w:b/>
          <w:bCs/>
        </w:rPr>
      </w:pPr>
    </w:p>
    <w:p w14:paraId="4AE22278" w14:textId="779AA19D" w:rsidR="0059222B" w:rsidRPr="00907E74" w:rsidRDefault="00376E3B" w:rsidP="00F65407">
      <w:pPr>
        <w:pStyle w:val="ListParagraph"/>
        <w:numPr>
          <w:ilvl w:val="0"/>
          <w:numId w:val="30"/>
        </w:numPr>
        <w:spacing w:after="0" w:line="240" w:lineRule="auto"/>
        <w:jc w:val="both"/>
      </w:pPr>
      <w:r w:rsidRPr="00376E3B">
        <w:rPr>
          <w:rFonts w:cstheme="minorHAnsi"/>
          <w:b/>
          <w:bCs/>
        </w:rPr>
        <w:t>Entries Containing Keywords in Journal Entry and/or Journal Line Description:</w:t>
      </w:r>
      <w:r>
        <w:rPr>
          <w:rFonts w:cstheme="minorHAnsi"/>
          <w:b/>
          <w:bCs/>
        </w:rPr>
        <w:t xml:space="preserve"> </w:t>
      </w:r>
      <w:r w:rsidRPr="00376E3B">
        <w:rPr>
          <w:rFonts w:cstheme="minorHAnsi"/>
        </w:rPr>
        <w:t xml:space="preserve">The test is selected to find out such keywords in the entry such as </w:t>
      </w:r>
      <w:r w:rsidR="00C771FB" w:rsidRPr="00C771FB">
        <w:rPr>
          <w:rFonts w:cstheme="minorHAnsi"/>
          <w:b/>
          <w:bCs/>
        </w:rPr>
        <w:t>Bribe, Gift, Present, Government officials, Satisfy, Adjustment, Reimbursement, help, reverse, restate, fraud</w:t>
      </w:r>
      <w:r w:rsidR="00C771FB">
        <w:rPr>
          <w:rFonts w:cstheme="minorHAnsi"/>
          <w:b/>
          <w:bCs/>
        </w:rPr>
        <w:t xml:space="preserve">, </w:t>
      </w:r>
      <w:r w:rsidR="00C771FB" w:rsidRPr="00C771FB">
        <w:rPr>
          <w:rFonts w:cstheme="minorHAnsi"/>
          <w:b/>
          <w:bCs/>
        </w:rPr>
        <w:t>Error</w:t>
      </w:r>
      <w:r w:rsidR="00C771FB">
        <w:rPr>
          <w:rFonts w:cstheme="minorHAnsi"/>
          <w:b/>
          <w:bCs/>
        </w:rPr>
        <w:t xml:space="preserve"> </w:t>
      </w:r>
      <w:r w:rsidRPr="00376E3B">
        <w:rPr>
          <w:rFonts w:cstheme="minorHAnsi"/>
        </w:rPr>
        <w:t>etc. which may indicate fraudulent entries. The</w:t>
      </w:r>
      <w:r>
        <w:rPr>
          <w:rFonts w:cstheme="minorHAnsi"/>
        </w:rPr>
        <w:t>se</w:t>
      </w:r>
      <w:r w:rsidRPr="00376E3B">
        <w:rPr>
          <w:rFonts w:cstheme="minorHAnsi"/>
        </w:rPr>
        <w:t xml:space="preserve"> words selected are based on our understanding of common </w:t>
      </w:r>
      <w:r w:rsidR="00EF0313">
        <w:rPr>
          <w:rFonts w:cstheme="minorHAnsi"/>
        </w:rPr>
        <w:t>fraud-related</w:t>
      </w:r>
      <w:r>
        <w:rPr>
          <w:rFonts w:cstheme="minorHAnsi"/>
        </w:rPr>
        <w:t xml:space="preserve"> activities</w:t>
      </w:r>
      <w:r w:rsidR="00457AD4">
        <w:rPr>
          <w:rFonts w:cstheme="minorHAnsi"/>
        </w:rPr>
        <w:t xml:space="preserve"> and inquiry with management personnel</w:t>
      </w:r>
      <w:r>
        <w:rPr>
          <w:rFonts w:cstheme="minorHAnsi"/>
        </w:rPr>
        <w:t>.</w:t>
      </w:r>
      <w:r w:rsidR="00465B33" w:rsidRPr="00465B33">
        <w:rPr>
          <w:rFonts w:cstheme="minorHAnsi"/>
        </w:rPr>
        <w:t xml:space="preserve"> </w:t>
      </w:r>
      <w:r w:rsidR="00907E74" w:rsidRPr="00907E74">
        <w:rPr>
          <w:rFonts w:cstheme="minorHAnsi"/>
        </w:rPr>
        <w:t xml:space="preserve">To identify relevant entries for this exception, we have used the built-in formulas. </w:t>
      </w:r>
      <w:r w:rsidR="00C771FB">
        <w:rPr>
          <w:rFonts w:cstheme="minorHAnsi"/>
        </w:rPr>
        <w:t>Spotlight has</w:t>
      </w:r>
      <w:r w:rsidR="00907E74">
        <w:rPr>
          <w:rFonts w:cstheme="minorHAnsi"/>
        </w:rPr>
        <w:t xml:space="preserve"> found 1</w:t>
      </w:r>
      <w:r w:rsidR="005D3038">
        <w:rPr>
          <w:rFonts w:cstheme="minorHAnsi"/>
        </w:rPr>
        <w:t>1</w:t>
      </w:r>
      <w:r w:rsidR="00907E74">
        <w:rPr>
          <w:rFonts w:cstheme="minorHAnsi"/>
        </w:rPr>
        <w:t xml:space="preserve"> entries under this exception. </w:t>
      </w:r>
      <w:r w:rsidR="00907E74" w:rsidRPr="001E699F">
        <w:t>We have analyzed the exception items and discussed with Management to understand the nature of transaction</w:t>
      </w:r>
      <w:r w:rsidR="00907E74">
        <w:t>s</w:t>
      </w:r>
      <w:r w:rsidR="00907E74" w:rsidRPr="001E699F">
        <w:t xml:space="preserve"> and </w:t>
      </w:r>
      <w:r w:rsidR="00907E74">
        <w:t>their</w:t>
      </w:r>
      <w:r w:rsidR="00907E74" w:rsidRPr="001E699F">
        <w:t xml:space="preserve"> business rationale. Based on our understanding and discussion with Management, we scoped out </w:t>
      </w:r>
      <w:r w:rsidR="005D3038">
        <w:t>9</w:t>
      </w:r>
      <w:r w:rsidR="00907E74" w:rsidRPr="001E699F">
        <w:t xml:space="preserve"> items and selected </w:t>
      </w:r>
      <w:r w:rsidR="005D3038">
        <w:t>2</w:t>
      </w:r>
      <w:r w:rsidR="00907E74" w:rsidRPr="001E699F">
        <w:t xml:space="preserve"> items for substantive testing. </w:t>
      </w:r>
      <w:r w:rsidR="00427CF4" w:rsidRPr="004A2F6B">
        <w:rPr>
          <w:rFonts w:cstheme="minorHAnsi"/>
        </w:rPr>
        <w:t xml:space="preserve">Refer to </w:t>
      </w:r>
      <w:bookmarkStart w:id="4" w:name="_Hlk122616946"/>
      <w:r w:rsidR="00F65407" w:rsidRPr="00427CF4">
        <w:rPr>
          <w:rFonts w:cstheme="minorHAnsi"/>
          <w:b/>
          <w:bCs/>
          <w:color w:val="0070C0"/>
        </w:rPr>
        <w:t xml:space="preserve">WP </w:t>
      </w:r>
      <w:r w:rsidR="00F65407" w:rsidRPr="00E91F4F">
        <w:rPr>
          <w:rFonts w:cstheme="minorHAnsi"/>
          <w:b/>
          <w:bCs/>
          <w:color w:val="0070C0"/>
        </w:rPr>
        <w:t>FSL.P01.2 Justification of scoped out and scoped in</w:t>
      </w:r>
      <w:r w:rsidR="00F65407" w:rsidRPr="001E699F">
        <w:t xml:space="preserve">. </w:t>
      </w:r>
    </w:p>
    <w:p w14:paraId="241A1812" w14:textId="77777777" w:rsidR="0059222B" w:rsidRDefault="0059222B" w:rsidP="0059222B">
      <w:pPr>
        <w:pStyle w:val="ListParagraph"/>
        <w:ind w:left="1800"/>
        <w:jc w:val="both"/>
        <w:rPr>
          <w:rFonts w:cstheme="minorHAnsi"/>
        </w:rPr>
      </w:pPr>
    </w:p>
    <w:bookmarkEnd w:id="4"/>
    <w:p w14:paraId="054D45D4" w14:textId="4831191B" w:rsidR="00427CF4" w:rsidRPr="00427CF4" w:rsidRDefault="00C771FB" w:rsidP="00427CF4">
      <w:pPr>
        <w:pStyle w:val="ListParagraph"/>
        <w:numPr>
          <w:ilvl w:val="0"/>
          <w:numId w:val="30"/>
        </w:numPr>
        <w:jc w:val="both"/>
        <w:rPr>
          <w:rFonts w:cstheme="minorHAnsi"/>
          <w:b/>
          <w:bCs/>
        </w:rPr>
      </w:pPr>
      <w:r w:rsidRPr="00C771FB">
        <w:rPr>
          <w:rFonts w:cstheme="minorHAnsi"/>
          <w:b/>
          <w:bCs/>
        </w:rPr>
        <w:t>Pre posted and back posted entries</w:t>
      </w:r>
      <w:r w:rsidR="00376E3B" w:rsidRPr="00DA5403">
        <w:rPr>
          <w:rFonts w:cstheme="minorHAnsi"/>
          <w:b/>
          <w:bCs/>
        </w:rPr>
        <w:t xml:space="preserve">: </w:t>
      </w:r>
      <w:r w:rsidR="00376E3B" w:rsidRPr="00DA5403">
        <w:rPr>
          <w:rFonts w:cstheme="minorHAnsi"/>
        </w:rPr>
        <w:t>The test is relevant as it will give entries</w:t>
      </w:r>
      <w:r>
        <w:rPr>
          <w:rFonts w:cstheme="minorHAnsi"/>
        </w:rPr>
        <w:t xml:space="preserve"> </w:t>
      </w:r>
      <w:r>
        <w:rPr>
          <w:rFonts w:ascii="Calibri" w:hAnsi="Calibri" w:cs="Calibri"/>
          <w:color w:val="000000"/>
          <w:shd w:val="clear" w:color="auto" w:fill="FFFFFF"/>
        </w:rPr>
        <w:t>those have posting date and effective date 7 days difference</w:t>
      </w:r>
      <w:r w:rsidR="00376E3B" w:rsidRPr="00DA5403">
        <w:rPr>
          <w:rFonts w:cstheme="minorHAnsi"/>
        </w:rPr>
        <w:t>.</w:t>
      </w:r>
      <w:r>
        <w:rPr>
          <w:rFonts w:cstheme="minorHAnsi"/>
        </w:rPr>
        <w:t xml:space="preserve"> </w:t>
      </w:r>
      <w:r w:rsidR="00465B33" w:rsidRPr="00DA5403">
        <w:rPr>
          <w:rFonts w:cstheme="minorHAnsi"/>
        </w:rPr>
        <w:t xml:space="preserve">To identify relevant entries for this exception, we have used </w:t>
      </w:r>
      <w:r>
        <w:rPr>
          <w:rFonts w:cstheme="minorHAnsi"/>
        </w:rPr>
        <w:t>Spotlight</w:t>
      </w:r>
      <w:r w:rsidR="00465B33" w:rsidRPr="00DA5403">
        <w:rPr>
          <w:rFonts w:cstheme="minorHAnsi"/>
        </w:rPr>
        <w:t xml:space="preserve">. Here, </w:t>
      </w:r>
      <w:r>
        <w:rPr>
          <w:rFonts w:cstheme="minorHAnsi"/>
        </w:rPr>
        <w:t xml:space="preserve">Spotlight has </w:t>
      </w:r>
      <w:r w:rsidR="00465B33" w:rsidRPr="00DA5403">
        <w:rPr>
          <w:rFonts w:cstheme="minorHAnsi"/>
        </w:rPr>
        <w:t>not found any entry according to our set criteria for this exception.</w:t>
      </w:r>
      <w:r w:rsidR="008D6D24">
        <w:rPr>
          <w:rFonts w:cstheme="minorHAnsi"/>
        </w:rPr>
        <w:t xml:space="preserve"> </w:t>
      </w:r>
      <w:r w:rsidR="008D6D24" w:rsidRPr="004A2F6B">
        <w:rPr>
          <w:rFonts w:cstheme="minorHAnsi"/>
        </w:rPr>
        <w:t xml:space="preserve">Refer to </w:t>
      </w:r>
      <w:r w:rsidR="008D6D24" w:rsidRPr="00427CF4">
        <w:rPr>
          <w:rFonts w:cstheme="minorHAnsi"/>
          <w:b/>
          <w:bCs/>
          <w:color w:val="0070C0"/>
        </w:rPr>
        <w:t xml:space="preserve">WP </w:t>
      </w:r>
      <w:r w:rsidR="008D6D24" w:rsidRPr="00E91F4F">
        <w:rPr>
          <w:rFonts w:cstheme="minorHAnsi"/>
          <w:b/>
          <w:bCs/>
          <w:color w:val="0070C0"/>
        </w:rPr>
        <w:t>FSL.P01.2 Justification of scoped out and scoped in</w:t>
      </w:r>
      <w:r w:rsidR="008D6D24" w:rsidRPr="001E699F">
        <w:t>.</w:t>
      </w:r>
    </w:p>
    <w:p w14:paraId="007C987B" w14:textId="77777777" w:rsidR="00427CF4" w:rsidRPr="00427CF4" w:rsidRDefault="00427CF4" w:rsidP="00427CF4">
      <w:pPr>
        <w:pStyle w:val="ListParagraph"/>
        <w:rPr>
          <w:rFonts w:cstheme="minorHAnsi"/>
          <w:b/>
          <w:bCs/>
        </w:rPr>
      </w:pPr>
    </w:p>
    <w:p w14:paraId="1D72BADA" w14:textId="084E1836" w:rsidR="00C771FB" w:rsidRPr="008D6D24" w:rsidRDefault="00376E3B" w:rsidP="00C771FB">
      <w:pPr>
        <w:pStyle w:val="ListParagraph"/>
        <w:numPr>
          <w:ilvl w:val="0"/>
          <w:numId w:val="30"/>
        </w:numPr>
        <w:jc w:val="both"/>
        <w:rPr>
          <w:rFonts w:cstheme="minorHAnsi"/>
          <w:b/>
          <w:bCs/>
        </w:rPr>
      </w:pPr>
      <w:r w:rsidRPr="00427CF4">
        <w:rPr>
          <w:rFonts w:cstheme="minorHAnsi"/>
          <w:b/>
          <w:bCs/>
        </w:rPr>
        <w:lastRenderedPageBreak/>
        <w:t xml:space="preserve">Unrelated Accounts: </w:t>
      </w:r>
      <w:r w:rsidR="00DA5403" w:rsidRPr="00427CF4">
        <w:rPr>
          <w:rFonts w:ascii="Calibri" w:hAnsi="Calibri" w:cs="Calibri"/>
        </w:rPr>
        <w:t>E</w:t>
      </w:r>
      <w:r w:rsidR="006736F3" w:rsidRPr="00427CF4">
        <w:rPr>
          <w:rFonts w:ascii="Calibri" w:hAnsi="Calibri" w:cs="Calibri"/>
        </w:rPr>
        <w:t>ntries in unrelated accounts impl</w:t>
      </w:r>
      <w:r w:rsidR="00427CF4" w:rsidRPr="00427CF4">
        <w:rPr>
          <w:rFonts w:ascii="Calibri" w:hAnsi="Calibri" w:cs="Calibri"/>
        </w:rPr>
        <w:t xml:space="preserve">y </w:t>
      </w:r>
      <w:r w:rsidR="00DA5403" w:rsidRPr="00427CF4">
        <w:rPr>
          <w:rFonts w:ascii="Calibri" w:hAnsi="Calibri" w:cs="Calibri"/>
        </w:rPr>
        <w:t>that</w:t>
      </w:r>
      <w:r w:rsidR="006736F3" w:rsidRPr="00427CF4">
        <w:rPr>
          <w:rFonts w:ascii="Calibri" w:hAnsi="Calibri" w:cs="Calibri"/>
        </w:rPr>
        <w:t xml:space="preserve"> any unnatural or fraudulent entries </w:t>
      </w:r>
      <w:r w:rsidR="00DA5403" w:rsidRPr="00427CF4">
        <w:rPr>
          <w:rFonts w:ascii="Calibri" w:hAnsi="Calibri" w:cs="Calibri"/>
        </w:rPr>
        <w:t xml:space="preserve">through </w:t>
      </w:r>
      <w:r w:rsidR="006736F3" w:rsidRPr="00427CF4">
        <w:rPr>
          <w:rFonts w:ascii="Calibri" w:hAnsi="Calibri" w:cs="Calibri"/>
        </w:rPr>
        <w:t xml:space="preserve">which management may try to conceal. </w:t>
      </w:r>
      <w:r w:rsidR="00DA5403" w:rsidRPr="00427CF4">
        <w:rPr>
          <w:rFonts w:ascii="Calibri" w:hAnsi="Calibri" w:cs="Calibri"/>
        </w:rPr>
        <w:t>Based on our knowledge of the Financial Reporting Process of the company</w:t>
      </w:r>
      <w:r w:rsidR="00427CF4" w:rsidRPr="00427CF4">
        <w:rPr>
          <w:rFonts w:ascii="Calibri" w:hAnsi="Calibri" w:cs="Calibri"/>
        </w:rPr>
        <w:t xml:space="preserve">, </w:t>
      </w:r>
      <w:r w:rsidR="00DA5403" w:rsidRPr="00427CF4">
        <w:rPr>
          <w:rFonts w:ascii="Calibri" w:hAnsi="Calibri" w:cs="Calibri"/>
        </w:rPr>
        <w:t xml:space="preserve">the prior test results, </w:t>
      </w:r>
      <w:r w:rsidR="00427CF4" w:rsidRPr="00427CF4">
        <w:rPr>
          <w:rFonts w:ascii="Calibri" w:hAnsi="Calibri" w:cs="Calibri"/>
        </w:rPr>
        <w:t xml:space="preserve">current year’s analytical procedure test result, and review of Journal Dump, possibility of </w:t>
      </w:r>
      <w:r w:rsidR="00DA5403" w:rsidRPr="00427CF4">
        <w:rPr>
          <w:rFonts w:ascii="Calibri" w:hAnsi="Calibri" w:cs="Calibri"/>
        </w:rPr>
        <w:t xml:space="preserve">entries recorded by the </w:t>
      </w:r>
      <w:r w:rsidR="008D6D24">
        <w:rPr>
          <w:rFonts w:ascii="Calibri" w:hAnsi="Calibri" w:cs="Calibri"/>
        </w:rPr>
        <w:t>c</w:t>
      </w:r>
      <w:r w:rsidR="00DA5403" w:rsidRPr="00427CF4">
        <w:rPr>
          <w:rFonts w:ascii="Calibri" w:hAnsi="Calibri" w:cs="Calibri"/>
        </w:rPr>
        <w:t>ompany do</w:t>
      </w:r>
      <w:r w:rsidR="008D6D24">
        <w:rPr>
          <w:rFonts w:ascii="Calibri" w:hAnsi="Calibri" w:cs="Calibri"/>
        </w:rPr>
        <w:t>es</w:t>
      </w:r>
      <w:r w:rsidR="00DA5403" w:rsidRPr="00427CF4">
        <w:rPr>
          <w:rFonts w:ascii="Calibri" w:hAnsi="Calibri" w:cs="Calibri"/>
        </w:rPr>
        <w:t xml:space="preserve"> not involve unrelated accounts</w:t>
      </w:r>
      <w:r w:rsidR="00427CF4" w:rsidRPr="00427CF4">
        <w:rPr>
          <w:rFonts w:ascii="Calibri" w:hAnsi="Calibri" w:cs="Calibri"/>
        </w:rPr>
        <w:t xml:space="preserve"> is very minimal</w:t>
      </w:r>
      <w:r w:rsidR="00DA5403" w:rsidRPr="00427CF4">
        <w:rPr>
          <w:rFonts w:ascii="Calibri" w:hAnsi="Calibri" w:cs="Calibri"/>
        </w:rPr>
        <w:t>.</w:t>
      </w:r>
      <w:r w:rsidR="00427CF4" w:rsidRPr="00427CF4">
        <w:rPr>
          <w:rFonts w:cstheme="minorHAnsi"/>
        </w:rPr>
        <w:t xml:space="preserve"> Accordingly, </w:t>
      </w:r>
      <w:r w:rsidR="008D6D24">
        <w:rPr>
          <w:rFonts w:cstheme="minorHAnsi"/>
        </w:rPr>
        <w:t>using spotlight</w:t>
      </w:r>
      <w:r w:rsidR="00427CF4" w:rsidRPr="00427CF4">
        <w:rPr>
          <w:rFonts w:cstheme="minorHAnsi"/>
        </w:rPr>
        <w:t xml:space="preserve"> </w:t>
      </w:r>
      <w:r w:rsidR="008D6D24">
        <w:rPr>
          <w:rFonts w:cstheme="minorHAnsi"/>
        </w:rPr>
        <w:t xml:space="preserve">we </w:t>
      </w:r>
      <w:r w:rsidR="00427CF4" w:rsidRPr="00427CF4">
        <w:rPr>
          <w:rFonts w:cstheme="minorHAnsi"/>
        </w:rPr>
        <w:t xml:space="preserve">have </w:t>
      </w:r>
      <w:r w:rsidR="008D6D24">
        <w:rPr>
          <w:rFonts w:cstheme="minorHAnsi"/>
        </w:rPr>
        <w:t xml:space="preserve">not found any exception under these criteria. </w:t>
      </w:r>
      <w:r w:rsidR="008D6D24" w:rsidRPr="004A2F6B">
        <w:rPr>
          <w:rFonts w:cstheme="minorHAnsi"/>
        </w:rPr>
        <w:t xml:space="preserve">Refer to </w:t>
      </w:r>
      <w:r w:rsidR="008D6D24" w:rsidRPr="00427CF4">
        <w:rPr>
          <w:rFonts w:cstheme="minorHAnsi"/>
          <w:b/>
          <w:bCs/>
          <w:color w:val="0070C0"/>
        </w:rPr>
        <w:t xml:space="preserve">WP </w:t>
      </w:r>
      <w:r w:rsidR="008D6D24" w:rsidRPr="00E91F4F">
        <w:rPr>
          <w:rFonts w:cstheme="minorHAnsi"/>
          <w:b/>
          <w:bCs/>
          <w:color w:val="0070C0"/>
        </w:rPr>
        <w:t>FSL.P01.2 Justification of scoped out and scoped in</w:t>
      </w:r>
      <w:r w:rsidR="008D6D24" w:rsidRPr="001E699F">
        <w:t>.</w:t>
      </w:r>
    </w:p>
    <w:p w14:paraId="002F3DD2" w14:textId="77777777" w:rsidR="008D6D24" w:rsidRPr="008D6D24" w:rsidRDefault="008D6D24" w:rsidP="008D6D24">
      <w:pPr>
        <w:pStyle w:val="ListParagraph"/>
        <w:rPr>
          <w:rFonts w:cstheme="minorHAnsi"/>
          <w:b/>
          <w:bCs/>
        </w:rPr>
      </w:pPr>
    </w:p>
    <w:p w14:paraId="43526F57" w14:textId="0DD57975" w:rsidR="008D6D24" w:rsidRPr="001E699F" w:rsidRDefault="008D6D24" w:rsidP="008D6D24">
      <w:pPr>
        <w:pStyle w:val="ListParagraph"/>
        <w:numPr>
          <w:ilvl w:val="0"/>
          <w:numId w:val="30"/>
        </w:numPr>
        <w:spacing w:after="0" w:line="240" w:lineRule="auto"/>
        <w:jc w:val="both"/>
      </w:pPr>
      <w:r w:rsidRPr="008D6D24">
        <w:rPr>
          <w:rFonts w:cstheme="minorHAnsi"/>
          <w:b/>
          <w:bCs/>
        </w:rPr>
        <w:t>Large PnL debit entries posted around year end</w:t>
      </w:r>
      <w:r>
        <w:rPr>
          <w:rFonts w:cstheme="minorHAnsi"/>
          <w:b/>
          <w:bCs/>
        </w:rPr>
        <w:t xml:space="preserve">: </w:t>
      </w:r>
      <w:r>
        <w:rPr>
          <w:rFonts w:ascii="Calibri" w:hAnsi="Calibri" w:cs="Calibri"/>
          <w:color w:val="000000"/>
          <w:shd w:val="clear" w:color="auto" w:fill="FFFFFF"/>
        </w:rPr>
        <w:t xml:space="preserve">This test gives us selections which unusually not like to occur with the nature of the transactions. So, for the entries made by unusual large debit to P&amp;L items at the period end may indicate fraud risk. </w:t>
      </w:r>
      <w:r>
        <w:rPr>
          <w:rFonts w:cstheme="minorHAnsi"/>
        </w:rPr>
        <w:t>W</w:t>
      </w:r>
      <w:r w:rsidRPr="004C5C79">
        <w:rPr>
          <w:rFonts w:cstheme="minorHAnsi"/>
        </w:rPr>
        <w:t xml:space="preserve">e have </w:t>
      </w:r>
      <w:r w:rsidR="00E91690">
        <w:rPr>
          <w:rFonts w:cstheme="minorHAnsi"/>
        </w:rPr>
        <w:t xml:space="preserve">considered </w:t>
      </w:r>
      <w:r w:rsidR="00E91690">
        <w:rPr>
          <w:rFonts w:ascii="Calibri" w:hAnsi="Calibri" w:cs="Calibri"/>
          <w:color w:val="000000"/>
          <w:shd w:val="clear" w:color="auto" w:fill="FFFFFF"/>
        </w:rPr>
        <w:t xml:space="preserve">debit entry recorded above PM amount of </w:t>
      </w:r>
      <w:r w:rsidR="008E2F5F">
        <w:rPr>
          <w:rFonts w:ascii="Calibri" w:hAnsi="Calibri" w:cs="Calibri"/>
          <w:color w:val="000000"/>
          <w:shd w:val="clear" w:color="auto" w:fill="FFFFFF"/>
        </w:rPr>
        <w:t>976</w:t>
      </w:r>
      <w:r w:rsidR="00E91690">
        <w:rPr>
          <w:rFonts w:ascii="Calibri" w:hAnsi="Calibri" w:cs="Calibri"/>
          <w:color w:val="000000"/>
          <w:shd w:val="clear" w:color="auto" w:fill="FFFFFF"/>
        </w:rPr>
        <w:t>,</w:t>
      </w:r>
      <w:r w:rsidR="008E2F5F">
        <w:rPr>
          <w:rFonts w:ascii="Calibri" w:hAnsi="Calibri" w:cs="Calibri"/>
          <w:color w:val="000000"/>
          <w:shd w:val="clear" w:color="auto" w:fill="FFFFFF"/>
        </w:rPr>
        <w:t>5</w:t>
      </w:r>
      <w:r w:rsidR="00E91690">
        <w:rPr>
          <w:rFonts w:ascii="Calibri" w:hAnsi="Calibri" w:cs="Calibri"/>
          <w:color w:val="000000"/>
          <w:shd w:val="clear" w:color="auto" w:fill="FFFFFF"/>
        </w:rPr>
        <w:t>00 within 7 days of period end.</w:t>
      </w:r>
      <w:r w:rsidRPr="004C5C79">
        <w:rPr>
          <w:rFonts w:cstheme="minorHAnsi"/>
        </w:rPr>
        <w:t xml:space="preserve"> </w:t>
      </w:r>
      <w:r>
        <w:rPr>
          <w:rFonts w:cstheme="minorHAnsi"/>
        </w:rPr>
        <w:t xml:space="preserve">To identify the relevant account for this exception, we have used Spotlight. Spotlight has found </w:t>
      </w:r>
      <w:r w:rsidR="00DB0895">
        <w:rPr>
          <w:rFonts w:cstheme="minorHAnsi"/>
        </w:rPr>
        <w:t>6</w:t>
      </w:r>
      <w:r>
        <w:rPr>
          <w:rFonts w:cstheme="minorHAnsi"/>
        </w:rPr>
        <w:t xml:space="preserve"> exception</w:t>
      </w:r>
      <w:r w:rsidR="00E91690">
        <w:rPr>
          <w:rFonts w:cstheme="minorHAnsi"/>
        </w:rPr>
        <w:t>s</w:t>
      </w:r>
      <w:r>
        <w:rPr>
          <w:rFonts w:cstheme="minorHAnsi"/>
        </w:rPr>
        <w:t xml:space="preserve"> here. </w:t>
      </w:r>
      <w:r w:rsidRPr="001E699F">
        <w:t>We have analyzed the exception items and discussed with Management to understand the nature of transaction</w:t>
      </w:r>
      <w:r>
        <w:t>s</w:t>
      </w:r>
      <w:r w:rsidRPr="001E699F">
        <w:t xml:space="preserve"> and </w:t>
      </w:r>
      <w:r>
        <w:t>their</w:t>
      </w:r>
      <w:r w:rsidRPr="001E699F">
        <w:t xml:space="preserve"> business rationale. Based on our understanding and discussion with Management, we </w:t>
      </w:r>
      <w:r>
        <w:t xml:space="preserve">have </w:t>
      </w:r>
      <w:r w:rsidRPr="001E699F">
        <w:t xml:space="preserve">scoped </w:t>
      </w:r>
      <w:r>
        <w:t xml:space="preserve">out </w:t>
      </w:r>
      <w:r w:rsidR="00D14B75">
        <w:t>5</w:t>
      </w:r>
      <w:r>
        <w:t xml:space="preserve"> </w:t>
      </w:r>
      <w:r w:rsidR="00C816F9">
        <w:t>item</w:t>
      </w:r>
      <w:r w:rsidR="00E91690">
        <w:t xml:space="preserve"> and selected </w:t>
      </w:r>
      <w:r w:rsidR="00D14B75">
        <w:t>1</w:t>
      </w:r>
      <w:r w:rsidR="00E91690">
        <w:t xml:space="preserve"> items for substantive testing</w:t>
      </w:r>
      <w:r w:rsidRPr="001E699F">
        <w:t xml:space="preserve">. </w:t>
      </w:r>
      <w:r>
        <w:rPr>
          <w:rFonts w:cstheme="minorHAnsi"/>
        </w:rPr>
        <w:t xml:space="preserve">Refer to </w:t>
      </w:r>
      <w:r w:rsidRPr="00427CF4">
        <w:rPr>
          <w:rFonts w:cstheme="minorHAnsi"/>
          <w:b/>
          <w:bCs/>
          <w:color w:val="0070C0"/>
        </w:rPr>
        <w:t xml:space="preserve">WP </w:t>
      </w:r>
      <w:r w:rsidRPr="00E91F4F">
        <w:rPr>
          <w:rFonts w:cstheme="minorHAnsi"/>
          <w:b/>
          <w:bCs/>
          <w:color w:val="0070C0"/>
        </w:rPr>
        <w:t>FSL.P01.2 Justification of scoped out and scoped in</w:t>
      </w:r>
      <w:r w:rsidRPr="001E699F">
        <w:t>.</w:t>
      </w:r>
    </w:p>
    <w:p w14:paraId="1AD533C1" w14:textId="6256FAE6" w:rsidR="008D6D24" w:rsidRPr="00E91690" w:rsidRDefault="00E91690" w:rsidP="00E91690">
      <w:pPr>
        <w:pStyle w:val="ListParagraph"/>
        <w:numPr>
          <w:ilvl w:val="0"/>
          <w:numId w:val="30"/>
        </w:numPr>
        <w:spacing w:after="0" w:line="240" w:lineRule="auto"/>
        <w:jc w:val="both"/>
      </w:pPr>
      <w:r w:rsidRPr="00E91690">
        <w:rPr>
          <w:rFonts w:cstheme="minorHAnsi"/>
          <w:b/>
          <w:bCs/>
        </w:rPr>
        <w:t>Large PnL credit entries posted around year end</w:t>
      </w:r>
      <w:r>
        <w:rPr>
          <w:rFonts w:cstheme="minorHAnsi"/>
          <w:b/>
          <w:bCs/>
        </w:rPr>
        <w:t xml:space="preserve">: </w:t>
      </w:r>
      <w:r>
        <w:rPr>
          <w:rFonts w:ascii="Calibri" w:hAnsi="Calibri" w:cs="Calibri"/>
          <w:color w:val="000000"/>
          <w:shd w:val="clear" w:color="auto" w:fill="FFFFFF"/>
        </w:rPr>
        <w:t xml:space="preserve">This test gives us selections which unusually not like to occur with the nature of the transactions. So, for the entries made by unusual large debit to P&amp;L items at the period end may indicate fraud risk. </w:t>
      </w:r>
      <w:r>
        <w:rPr>
          <w:rFonts w:cstheme="minorHAnsi"/>
        </w:rPr>
        <w:t>W</w:t>
      </w:r>
      <w:r w:rsidRPr="004C5C79">
        <w:rPr>
          <w:rFonts w:cstheme="minorHAnsi"/>
        </w:rPr>
        <w:t xml:space="preserve">e have </w:t>
      </w:r>
      <w:r>
        <w:rPr>
          <w:rFonts w:cstheme="minorHAnsi"/>
        </w:rPr>
        <w:t xml:space="preserve">considered </w:t>
      </w:r>
      <w:r>
        <w:rPr>
          <w:rFonts w:ascii="Calibri" w:hAnsi="Calibri" w:cs="Calibri"/>
          <w:color w:val="000000"/>
          <w:shd w:val="clear" w:color="auto" w:fill="FFFFFF"/>
        </w:rPr>
        <w:t xml:space="preserve">credit entry recorded above PM amount of </w:t>
      </w:r>
      <w:r w:rsidR="00EB1095">
        <w:rPr>
          <w:rFonts w:ascii="Calibri" w:hAnsi="Calibri" w:cs="Calibri"/>
          <w:color w:val="000000"/>
          <w:shd w:val="clear" w:color="auto" w:fill="FFFFFF"/>
        </w:rPr>
        <w:t xml:space="preserve">976,500 </w:t>
      </w:r>
      <w:r>
        <w:rPr>
          <w:rFonts w:ascii="Calibri" w:hAnsi="Calibri" w:cs="Calibri"/>
          <w:color w:val="000000"/>
          <w:shd w:val="clear" w:color="auto" w:fill="FFFFFF"/>
        </w:rPr>
        <w:t>within 7 days of period end.</w:t>
      </w:r>
      <w:r w:rsidRPr="004C5C79">
        <w:rPr>
          <w:rFonts w:cstheme="minorHAnsi"/>
        </w:rPr>
        <w:t xml:space="preserve"> </w:t>
      </w:r>
      <w:r>
        <w:rPr>
          <w:rFonts w:cstheme="minorHAnsi"/>
        </w:rPr>
        <w:t xml:space="preserve">To identify the relevant account for this exception, we have used Spotlight. Spotlight has found </w:t>
      </w:r>
      <w:r w:rsidR="00FE42EB">
        <w:rPr>
          <w:rFonts w:cstheme="minorHAnsi"/>
        </w:rPr>
        <w:t>4</w:t>
      </w:r>
      <w:r w:rsidR="00C816F9">
        <w:rPr>
          <w:rFonts w:cstheme="minorHAnsi"/>
        </w:rPr>
        <w:t xml:space="preserve"> </w:t>
      </w:r>
      <w:r>
        <w:rPr>
          <w:rFonts w:cstheme="minorHAnsi"/>
        </w:rPr>
        <w:t xml:space="preserve">exceptions here. </w:t>
      </w:r>
      <w:r w:rsidRPr="001E699F">
        <w:t>We have analyzed the exception items and discussed with Management to understand the nature of transaction</w:t>
      </w:r>
      <w:r>
        <w:t>s</w:t>
      </w:r>
      <w:r w:rsidRPr="001E699F">
        <w:t xml:space="preserve"> and </w:t>
      </w:r>
      <w:r>
        <w:t>their</w:t>
      </w:r>
      <w:r w:rsidRPr="001E699F">
        <w:t xml:space="preserve"> business rationale. Based on our understanding and discussion with Management, we </w:t>
      </w:r>
      <w:r>
        <w:t xml:space="preserve">have </w:t>
      </w:r>
      <w:r w:rsidRPr="001E699F">
        <w:t xml:space="preserve">scoped </w:t>
      </w:r>
      <w:r>
        <w:t xml:space="preserve">out </w:t>
      </w:r>
      <w:r w:rsidR="00FE42EB">
        <w:t>3</w:t>
      </w:r>
      <w:r>
        <w:t xml:space="preserve"> </w:t>
      </w:r>
      <w:r w:rsidR="00C816F9">
        <w:t>item</w:t>
      </w:r>
      <w:r>
        <w:t xml:space="preserve"> and selected </w:t>
      </w:r>
      <w:r w:rsidR="00C816F9">
        <w:t>1</w:t>
      </w:r>
      <w:r>
        <w:t xml:space="preserve"> item for substantive testing</w:t>
      </w:r>
      <w:r w:rsidRPr="001E699F">
        <w:t xml:space="preserve">. </w:t>
      </w:r>
      <w:r>
        <w:rPr>
          <w:rFonts w:cstheme="minorHAnsi"/>
        </w:rPr>
        <w:t xml:space="preserve">Refer to </w:t>
      </w:r>
      <w:r w:rsidRPr="00427CF4">
        <w:rPr>
          <w:rFonts w:cstheme="minorHAnsi"/>
          <w:b/>
          <w:bCs/>
          <w:color w:val="0070C0"/>
        </w:rPr>
        <w:t xml:space="preserve">WP </w:t>
      </w:r>
      <w:r w:rsidRPr="00E91F4F">
        <w:rPr>
          <w:rFonts w:cstheme="minorHAnsi"/>
          <w:b/>
          <w:bCs/>
          <w:color w:val="0070C0"/>
        </w:rPr>
        <w:t>FSL.P01.2 Justification of scoped out and scoped in</w:t>
      </w:r>
      <w:r w:rsidRPr="001E699F">
        <w:t>.</w:t>
      </w:r>
    </w:p>
    <w:p w14:paraId="3CE4905B" w14:textId="77777777" w:rsidR="00780EB7" w:rsidRPr="00E44C8F" w:rsidRDefault="00780EB7" w:rsidP="00E44C8F">
      <w:pPr>
        <w:pStyle w:val="ListParagraph"/>
        <w:ind w:left="1080"/>
        <w:jc w:val="both"/>
        <w:rPr>
          <w:rFonts w:cstheme="minorHAnsi"/>
          <w:b/>
          <w:color w:val="5B9BD5" w:themeColor="accent1"/>
        </w:rPr>
      </w:pPr>
    </w:p>
    <w:p w14:paraId="68BFF814" w14:textId="61229586" w:rsidR="006B32AB" w:rsidRDefault="004D450F" w:rsidP="006B32AB">
      <w:pPr>
        <w:pStyle w:val="ListParagraph"/>
        <w:numPr>
          <w:ilvl w:val="0"/>
          <w:numId w:val="27"/>
        </w:numPr>
        <w:jc w:val="both"/>
        <w:rPr>
          <w:rFonts w:cstheme="minorHAnsi"/>
        </w:rPr>
      </w:pPr>
      <w:r>
        <w:rPr>
          <w:rFonts w:cstheme="minorHAnsi"/>
        </w:rPr>
        <w:t>ET ha</w:t>
      </w:r>
      <w:r w:rsidR="00194B39">
        <w:rPr>
          <w:rFonts w:cstheme="minorHAnsi"/>
        </w:rPr>
        <w:t>s</w:t>
      </w:r>
      <w:r>
        <w:rPr>
          <w:rFonts w:cstheme="minorHAnsi"/>
        </w:rPr>
        <w:t xml:space="preserve"> performed Test of Details on the </w:t>
      </w:r>
      <w:r w:rsidR="00BD4DDF">
        <w:rPr>
          <w:rFonts w:cstheme="minorHAnsi"/>
        </w:rPr>
        <w:t>scoped-in</w:t>
      </w:r>
      <w:r>
        <w:rPr>
          <w:rFonts w:cstheme="minorHAnsi"/>
        </w:rPr>
        <w:t xml:space="preserve"> items </w:t>
      </w:r>
      <w:r w:rsidR="00B4794C">
        <w:rPr>
          <w:rFonts w:cstheme="minorHAnsi"/>
        </w:rPr>
        <w:t xml:space="preserve">which were </w:t>
      </w:r>
      <w:r w:rsidR="006B32AB">
        <w:rPr>
          <w:rFonts w:cstheme="minorHAnsi"/>
        </w:rPr>
        <w:t>scoped in</w:t>
      </w:r>
      <w:r w:rsidR="007B7BDA">
        <w:rPr>
          <w:rFonts w:cstheme="minorHAnsi"/>
        </w:rPr>
        <w:t xml:space="preserve"> as unusual journal entries.</w:t>
      </w:r>
    </w:p>
    <w:p w14:paraId="06CF1884" w14:textId="77777777" w:rsidR="006B32AB" w:rsidRPr="006B32AB" w:rsidRDefault="006B32AB" w:rsidP="006B32AB">
      <w:pPr>
        <w:pStyle w:val="ListParagraph"/>
        <w:ind w:left="1080"/>
        <w:jc w:val="both"/>
        <w:rPr>
          <w:rFonts w:cstheme="minorHAnsi"/>
        </w:rPr>
      </w:pPr>
    </w:p>
    <w:p w14:paraId="279CFBBF" w14:textId="5D39965F" w:rsidR="006B32AB" w:rsidRPr="001E699F" w:rsidRDefault="006B32AB" w:rsidP="006B32AB">
      <w:pPr>
        <w:pStyle w:val="ListParagraph"/>
        <w:numPr>
          <w:ilvl w:val="0"/>
          <w:numId w:val="32"/>
        </w:numPr>
        <w:spacing w:after="0" w:line="240" w:lineRule="auto"/>
        <w:jc w:val="both"/>
      </w:pPr>
      <w:r w:rsidRPr="001E699F">
        <w:rPr>
          <w:rFonts w:cstheme="minorHAnsi"/>
          <w:b/>
          <w:bCs/>
        </w:rPr>
        <w:t xml:space="preserve">Entries Made to Seldom Used Accounts: </w:t>
      </w:r>
      <w:r w:rsidRPr="001E699F">
        <w:t xml:space="preserve">In substantive testing </w:t>
      </w:r>
      <w:r>
        <w:t xml:space="preserve">of </w:t>
      </w:r>
      <w:r w:rsidR="00156885">
        <w:t>3</w:t>
      </w:r>
      <w:r w:rsidR="00A30FA0">
        <w:t xml:space="preserve"> </w:t>
      </w:r>
      <w:r>
        <w:t xml:space="preserve">scoped-in items, </w:t>
      </w:r>
      <w:r w:rsidRPr="001E699F">
        <w:t>we reviewed the supporting document and found that the transactions were incurred for business purposes and concluded that no fraud characteristic exists in the transactions</w:t>
      </w:r>
      <w:r>
        <w:t xml:space="preserve">. </w:t>
      </w:r>
      <w:r>
        <w:rPr>
          <w:rFonts w:cstheme="minorHAnsi"/>
        </w:rPr>
        <w:t xml:space="preserve">Refer to </w:t>
      </w:r>
      <w:r w:rsidR="00F65407">
        <w:rPr>
          <w:rFonts w:cstheme="minorHAnsi"/>
          <w:b/>
          <w:bCs/>
          <w:color w:val="0070C0"/>
        </w:rPr>
        <w:t>WP F</w:t>
      </w:r>
      <w:r w:rsidR="00F65407" w:rsidRPr="00F65407">
        <w:rPr>
          <w:rFonts w:cstheme="minorHAnsi"/>
          <w:b/>
          <w:bCs/>
          <w:color w:val="0070C0"/>
        </w:rPr>
        <w:t>SL.P01.3 TOD on Journal entries</w:t>
      </w:r>
      <w:r w:rsidRPr="001E699F">
        <w:t xml:space="preserve">. </w:t>
      </w:r>
    </w:p>
    <w:p w14:paraId="0A3085ED" w14:textId="77777777" w:rsidR="006B32AB" w:rsidRPr="00E91690" w:rsidRDefault="006B32AB" w:rsidP="00E91690">
      <w:pPr>
        <w:jc w:val="both"/>
        <w:rPr>
          <w:rFonts w:cstheme="minorHAnsi"/>
          <w:b/>
          <w:bCs/>
          <w:highlight w:val="yellow"/>
        </w:rPr>
      </w:pPr>
    </w:p>
    <w:p w14:paraId="0B694BB5" w14:textId="6648E0BF" w:rsidR="006B32AB" w:rsidRDefault="00C816F9" w:rsidP="006B32AB">
      <w:pPr>
        <w:pStyle w:val="ListParagraph"/>
        <w:numPr>
          <w:ilvl w:val="0"/>
          <w:numId w:val="32"/>
        </w:numPr>
        <w:spacing w:after="0" w:line="240" w:lineRule="auto"/>
        <w:jc w:val="both"/>
      </w:pPr>
      <w:r w:rsidRPr="001E699F">
        <w:rPr>
          <w:rFonts w:cstheme="minorHAnsi"/>
          <w:b/>
          <w:bCs/>
        </w:rPr>
        <w:t xml:space="preserve">Entries Made to </w:t>
      </w:r>
      <w:r w:rsidR="00E91690" w:rsidRPr="00E91690">
        <w:rPr>
          <w:rFonts w:cstheme="minorHAnsi"/>
          <w:b/>
          <w:bCs/>
        </w:rPr>
        <w:t>Unusual Accounts</w:t>
      </w:r>
      <w:r w:rsidR="006B32AB">
        <w:rPr>
          <w:rFonts w:cstheme="minorHAnsi"/>
          <w:b/>
          <w:bCs/>
        </w:rPr>
        <w:t xml:space="preserve">: </w:t>
      </w:r>
      <w:r w:rsidR="006B32AB" w:rsidRPr="001E699F">
        <w:t xml:space="preserve">In substantive testing </w:t>
      </w:r>
      <w:r w:rsidR="006B32AB">
        <w:t xml:space="preserve">of </w:t>
      </w:r>
      <w:r w:rsidR="00942F63">
        <w:t xml:space="preserve">10 </w:t>
      </w:r>
      <w:r w:rsidR="006B32AB">
        <w:t xml:space="preserve">scoped-in items, </w:t>
      </w:r>
      <w:r w:rsidR="006B32AB" w:rsidRPr="001E699F">
        <w:t xml:space="preserve">we reviewed the supporting document and found that the transactions were incurred for business purposes and concluded that no fraud characteristic exists in the transactions. </w:t>
      </w:r>
      <w:r w:rsidR="006B32AB">
        <w:rPr>
          <w:rFonts w:cstheme="minorHAnsi"/>
        </w:rPr>
        <w:t xml:space="preserve">Refer to </w:t>
      </w:r>
      <w:r w:rsidR="00F65407">
        <w:rPr>
          <w:rFonts w:cstheme="minorHAnsi"/>
          <w:b/>
          <w:bCs/>
          <w:color w:val="0070C0"/>
        </w:rPr>
        <w:t>WP F</w:t>
      </w:r>
      <w:r w:rsidR="00F65407" w:rsidRPr="00F65407">
        <w:rPr>
          <w:rFonts w:cstheme="minorHAnsi"/>
          <w:b/>
          <w:bCs/>
          <w:color w:val="0070C0"/>
        </w:rPr>
        <w:t>SL.P01.3 TOD on Journal entries</w:t>
      </w:r>
      <w:r w:rsidR="006B32AB" w:rsidRPr="001E699F">
        <w:t>.</w:t>
      </w:r>
    </w:p>
    <w:p w14:paraId="7DF3E66F" w14:textId="77777777" w:rsidR="006B32AB" w:rsidRDefault="006B32AB" w:rsidP="006B32AB">
      <w:pPr>
        <w:pStyle w:val="ListParagraph"/>
      </w:pPr>
    </w:p>
    <w:p w14:paraId="6C8BDE96" w14:textId="1B94BAFB" w:rsidR="006B32AB" w:rsidRPr="00424B44" w:rsidRDefault="00C816F9" w:rsidP="00C816F9">
      <w:pPr>
        <w:pStyle w:val="ListParagraph"/>
        <w:numPr>
          <w:ilvl w:val="0"/>
          <w:numId w:val="32"/>
        </w:numPr>
        <w:spacing w:after="0" w:line="240" w:lineRule="auto"/>
        <w:jc w:val="both"/>
      </w:pPr>
      <w:r w:rsidRPr="006B32AB">
        <w:rPr>
          <w:rFonts w:cstheme="minorHAnsi"/>
          <w:b/>
          <w:bCs/>
        </w:rPr>
        <w:t>Entries with Round Amounts</w:t>
      </w:r>
      <w:r w:rsidR="006B32AB" w:rsidRPr="00424B44">
        <w:rPr>
          <w:rFonts w:cstheme="minorHAnsi"/>
          <w:b/>
          <w:bCs/>
        </w:rPr>
        <w:t xml:space="preserve">: </w:t>
      </w:r>
      <w:r w:rsidR="00424B44" w:rsidRPr="00424B44">
        <w:t xml:space="preserve">In substantive testing of </w:t>
      </w:r>
      <w:r>
        <w:t>2</w:t>
      </w:r>
      <w:r w:rsidR="00424B44" w:rsidRPr="00424B44">
        <w:t xml:space="preserve"> scoped-in items, we reviewed the supporting document and found </w:t>
      </w:r>
      <w:r w:rsidRPr="001E699F">
        <w:t>that the transactions were incurred for business purposes and concluded that no fraud characteristic exists in the transactions.</w:t>
      </w:r>
      <w:r w:rsidR="00424B44" w:rsidRPr="00424B44">
        <w:t xml:space="preserve"> </w:t>
      </w:r>
      <w:r w:rsidR="00424B44" w:rsidRPr="00C816F9">
        <w:rPr>
          <w:rFonts w:cstheme="minorHAnsi"/>
        </w:rPr>
        <w:t xml:space="preserve">Refer to </w:t>
      </w:r>
      <w:r w:rsidR="00F65407" w:rsidRPr="00C816F9">
        <w:rPr>
          <w:rFonts w:cstheme="minorHAnsi"/>
          <w:b/>
          <w:bCs/>
          <w:color w:val="0070C0"/>
        </w:rPr>
        <w:t>WP FSL.P01.3 TOD on Journal entries</w:t>
      </w:r>
      <w:r w:rsidR="00424B44" w:rsidRPr="00424B44">
        <w:t>.</w:t>
      </w:r>
    </w:p>
    <w:p w14:paraId="1F02D13E" w14:textId="77777777" w:rsidR="00424B44" w:rsidRDefault="00424B44" w:rsidP="00424B44">
      <w:pPr>
        <w:pStyle w:val="ListParagraph"/>
      </w:pPr>
    </w:p>
    <w:p w14:paraId="46264FFA" w14:textId="77777777" w:rsidR="00E91690" w:rsidRPr="00E91690" w:rsidRDefault="00E91690" w:rsidP="00E91690">
      <w:pPr>
        <w:pStyle w:val="ListParagraph"/>
        <w:rPr>
          <w:rFonts w:cstheme="minorHAnsi"/>
          <w:b/>
          <w:bCs/>
        </w:rPr>
      </w:pPr>
    </w:p>
    <w:p w14:paraId="31BDF1CA" w14:textId="16DE592B" w:rsidR="006B32AB" w:rsidRDefault="006B32AB" w:rsidP="00E91690">
      <w:pPr>
        <w:pStyle w:val="ListParagraph"/>
        <w:numPr>
          <w:ilvl w:val="0"/>
          <w:numId w:val="32"/>
        </w:numPr>
        <w:spacing w:after="0" w:line="240" w:lineRule="auto"/>
        <w:jc w:val="both"/>
      </w:pPr>
      <w:r w:rsidRPr="00E91690">
        <w:rPr>
          <w:rFonts w:cstheme="minorHAnsi"/>
          <w:b/>
          <w:bCs/>
        </w:rPr>
        <w:lastRenderedPageBreak/>
        <w:t xml:space="preserve">Entries Containing Keywords in Journal Entry and/or Journal Line Description: </w:t>
      </w:r>
      <w:r w:rsidRPr="001E699F">
        <w:t xml:space="preserve">In substantive testing </w:t>
      </w:r>
      <w:r>
        <w:t xml:space="preserve">of </w:t>
      </w:r>
      <w:r w:rsidR="005D7F78">
        <w:t>2</w:t>
      </w:r>
      <w:r>
        <w:t xml:space="preserve"> scoped-in items, </w:t>
      </w:r>
      <w:r w:rsidRPr="001E699F">
        <w:t xml:space="preserve">we reviewed the supporting document and found that the transactions were incurred for business purposes and concluded that no fraud characteristic exists in the transactions. </w:t>
      </w:r>
      <w:r w:rsidRPr="00E91690">
        <w:rPr>
          <w:rFonts w:cstheme="minorHAnsi"/>
        </w:rPr>
        <w:t xml:space="preserve">Refer to </w:t>
      </w:r>
      <w:r w:rsidR="00F65407" w:rsidRPr="00E91690">
        <w:rPr>
          <w:rFonts w:cstheme="minorHAnsi"/>
          <w:b/>
          <w:bCs/>
          <w:color w:val="0070C0"/>
        </w:rPr>
        <w:t>WP FSL.P01.3 TOD on Journal entries</w:t>
      </w:r>
      <w:r w:rsidR="00F65407" w:rsidRPr="001E699F">
        <w:t xml:space="preserve">. </w:t>
      </w:r>
    </w:p>
    <w:p w14:paraId="49C913AB" w14:textId="77777777" w:rsidR="00C816F9" w:rsidRDefault="00C816F9" w:rsidP="00C816F9">
      <w:pPr>
        <w:pStyle w:val="ListParagraph"/>
      </w:pPr>
    </w:p>
    <w:p w14:paraId="0BDF2F48" w14:textId="3BF1B23E" w:rsidR="00C816F9" w:rsidRDefault="00C816F9" w:rsidP="00C816F9">
      <w:pPr>
        <w:pStyle w:val="ListParagraph"/>
        <w:numPr>
          <w:ilvl w:val="0"/>
          <w:numId w:val="32"/>
        </w:numPr>
        <w:spacing w:after="0" w:line="240" w:lineRule="auto"/>
        <w:jc w:val="both"/>
      </w:pPr>
      <w:r w:rsidRPr="00C816F9">
        <w:rPr>
          <w:rFonts w:cstheme="minorHAnsi"/>
          <w:b/>
          <w:bCs/>
        </w:rPr>
        <w:t>Largest journal lines</w:t>
      </w:r>
      <w:r w:rsidRPr="00E91690">
        <w:rPr>
          <w:rFonts w:cstheme="minorHAnsi"/>
          <w:b/>
          <w:bCs/>
        </w:rPr>
        <w:t xml:space="preserve">: </w:t>
      </w:r>
      <w:r w:rsidRPr="001E699F">
        <w:t xml:space="preserve">In substantive testing </w:t>
      </w:r>
      <w:r>
        <w:t xml:space="preserve">of </w:t>
      </w:r>
      <w:r w:rsidR="008150D2">
        <w:t>3</w:t>
      </w:r>
      <w:r>
        <w:t xml:space="preserve"> scoped-in items, </w:t>
      </w:r>
      <w:r w:rsidRPr="001E699F">
        <w:t xml:space="preserve">we reviewed the supporting document and found that the transactions were incurred </w:t>
      </w:r>
      <w:r>
        <w:t>as normal courses of business</w:t>
      </w:r>
      <w:r w:rsidRPr="001E699F">
        <w:t xml:space="preserve"> and concluded that no fraud characteristic exists in the transactions. </w:t>
      </w:r>
      <w:r w:rsidRPr="00E91690">
        <w:rPr>
          <w:rFonts w:cstheme="minorHAnsi"/>
        </w:rPr>
        <w:t xml:space="preserve">Refer to </w:t>
      </w:r>
      <w:r w:rsidRPr="00E91690">
        <w:rPr>
          <w:rFonts w:cstheme="minorHAnsi"/>
          <w:b/>
          <w:bCs/>
          <w:color w:val="0070C0"/>
        </w:rPr>
        <w:t>WP FSL.P01.3 TOD on Journal entries</w:t>
      </w:r>
      <w:r w:rsidRPr="001E699F">
        <w:t xml:space="preserve">. </w:t>
      </w:r>
    </w:p>
    <w:p w14:paraId="3AA43D1B" w14:textId="1DBE1156" w:rsidR="00C816F9" w:rsidRPr="00C816F9" w:rsidRDefault="00C816F9" w:rsidP="00E91690">
      <w:pPr>
        <w:pStyle w:val="ListParagraph"/>
        <w:numPr>
          <w:ilvl w:val="0"/>
          <w:numId w:val="32"/>
        </w:numPr>
        <w:spacing w:after="0" w:line="240" w:lineRule="auto"/>
        <w:jc w:val="both"/>
      </w:pPr>
      <w:r w:rsidRPr="008D6D24">
        <w:rPr>
          <w:rFonts w:cstheme="minorHAnsi"/>
          <w:b/>
          <w:bCs/>
        </w:rPr>
        <w:t>Large PnL debit entries posted around year end</w:t>
      </w:r>
      <w:r>
        <w:rPr>
          <w:rFonts w:cstheme="minorHAnsi"/>
          <w:b/>
          <w:bCs/>
        </w:rPr>
        <w:t xml:space="preserve">: </w:t>
      </w:r>
      <w:r w:rsidRPr="001E699F">
        <w:t xml:space="preserve">In substantive testing </w:t>
      </w:r>
      <w:r>
        <w:t xml:space="preserve">of </w:t>
      </w:r>
      <w:r w:rsidR="000A2727">
        <w:t xml:space="preserve">1 </w:t>
      </w:r>
      <w:r>
        <w:t xml:space="preserve">scoped-in item, </w:t>
      </w:r>
      <w:r w:rsidRPr="001E699F">
        <w:t xml:space="preserve">we reviewed the supporting document and found that the transactions were incurred </w:t>
      </w:r>
      <w:r>
        <w:t>as normal courses of business</w:t>
      </w:r>
      <w:r w:rsidRPr="001E699F">
        <w:t xml:space="preserve"> and concluded that no fraud characteristic exists in the transactions. </w:t>
      </w:r>
      <w:r w:rsidRPr="00E91690">
        <w:rPr>
          <w:rFonts w:cstheme="minorHAnsi"/>
        </w:rPr>
        <w:t xml:space="preserve">Refer to </w:t>
      </w:r>
      <w:r w:rsidRPr="00E91690">
        <w:rPr>
          <w:rFonts w:cstheme="minorHAnsi"/>
          <w:b/>
          <w:bCs/>
          <w:color w:val="0070C0"/>
        </w:rPr>
        <w:t>WP FSL.P01.3 TOD on Journal entries</w:t>
      </w:r>
      <w:r w:rsidRPr="001E699F">
        <w:t>.</w:t>
      </w:r>
    </w:p>
    <w:p w14:paraId="2B475B2B" w14:textId="73CB71B6" w:rsidR="00C816F9" w:rsidRPr="00F65407" w:rsidRDefault="00C816F9" w:rsidP="00E91690">
      <w:pPr>
        <w:pStyle w:val="ListParagraph"/>
        <w:numPr>
          <w:ilvl w:val="0"/>
          <w:numId w:val="32"/>
        </w:numPr>
        <w:spacing w:after="0" w:line="240" w:lineRule="auto"/>
        <w:jc w:val="both"/>
      </w:pPr>
      <w:r w:rsidRPr="00E91690">
        <w:rPr>
          <w:rFonts w:cstheme="minorHAnsi"/>
          <w:b/>
          <w:bCs/>
        </w:rPr>
        <w:t>Large PnL credit entries posted around year end</w:t>
      </w:r>
      <w:r>
        <w:rPr>
          <w:rFonts w:cstheme="minorHAnsi"/>
          <w:b/>
          <w:bCs/>
        </w:rPr>
        <w:t xml:space="preserve">: </w:t>
      </w:r>
      <w:r w:rsidRPr="001E699F">
        <w:t xml:space="preserve">In substantive testing </w:t>
      </w:r>
      <w:r>
        <w:t xml:space="preserve">of 1 scoped-in items, </w:t>
      </w:r>
      <w:r w:rsidRPr="001E699F">
        <w:t xml:space="preserve">we reviewed the supporting document and found that the transactions were incurred </w:t>
      </w:r>
      <w:r>
        <w:t>as normal courses of business</w:t>
      </w:r>
      <w:r w:rsidRPr="001E699F">
        <w:t xml:space="preserve"> and concluded that no fraud characteristic exists in the transactions. </w:t>
      </w:r>
      <w:r w:rsidRPr="00E91690">
        <w:rPr>
          <w:rFonts w:cstheme="minorHAnsi"/>
        </w:rPr>
        <w:t xml:space="preserve">Refer to </w:t>
      </w:r>
      <w:r w:rsidRPr="00E91690">
        <w:rPr>
          <w:rFonts w:cstheme="minorHAnsi"/>
          <w:b/>
          <w:bCs/>
          <w:color w:val="0070C0"/>
        </w:rPr>
        <w:t>WP FSL.P01.3 TOD on Journal entries</w:t>
      </w:r>
      <w:r w:rsidRPr="001E699F">
        <w:t>.</w:t>
      </w:r>
    </w:p>
    <w:p w14:paraId="6935031C" w14:textId="77777777" w:rsidR="006B32AB" w:rsidRPr="006B32AB" w:rsidRDefault="006B32AB" w:rsidP="006B32AB">
      <w:pPr>
        <w:jc w:val="both"/>
        <w:rPr>
          <w:rFonts w:cstheme="minorHAnsi"/>
          <w:b/>
          <w:bCs/>
          <w:sz w:val="10"/>
          <w:szCs w:val="10"/>
        </w:rPr>
      </w:pPr>
    </w:p>
    <w:p w14:paraId="68CC0AC0" w14:textId="77777777" w:rsidR="00605CF0" w:rsidRPr="004E6879" w:rsidRDefault="000C63CB" w:rsidP="00605CF0">
      <w:pPr>
        <w:ind w:left="-90"/>
        <w:jc w:val="both"/>
        <w:rPr>
          <w:rFonts w:cstheme="minorHAnsi"/>
          <w:b/>
        </w:rPr>
      </w:pPr>
      <w:r w:rsidRPr="004E6879">
        <w:rPr>
          <w:rFonts w:cstheme="minorHAnsi"/>
          <w:b/>
        </w:rPr>
        <w:t xml:space="preserve">Overall Conclusion: </w:t>
      </w:r>
    </w:p>
    <w:p w14:paraId="14581451" w14:textId="1F68B653" w:rsidR="000C63CB" w:rsidRPr="004E6879" w:rsidRDefault="000C63CB" w:rsidP="00605CF0">
      <w:pPr>
        <w:ind w:left="-90"/>
        <w:jc w:val="both"/>
        <w:rPr>
          <w:rFonts w:cstheme="minorHAnsi"/>
          <w:b/>
        </w:rPr>
      </w:pPr>
      <w:r w:rsidRPr="004E6879">
        <w:rPr>
          <w:rFonts w:cstheme="minorHAnsi"/>
        </w:rPr>
        <w:t>Based on the results of the testing performed above</w:t>
      </w:r>
      <w:r w:rsidR="00151CB0">
        <w:rPr>
          <w:rFonts w:cstheme="minorHAnsi"/>
        </w:rPr>
        <w:t>,</w:t>
      </w:r>
      <w:r w:rsidRPr="004E6879">
        <w:rPr>
          <w:rFonts w:cstheme="minorHAnsi"/>
        </w:rPr>
        <w:t xml:space="preserve"> it may be concluded that ET has been able to address the Risk of Management Override of Control as Significant Risk. </w:t>
      </w:r>
    </w:p>
    <w:p w14:paraId="038B0BCD" w14:textId="1E7AF26B" w:rsidR="000C63CB" w:rsidRPr="004E6879" w:rsidRDefault="000C63CB" w:rsidP="000C63CB">
      <w:pPr>
        <w:jc w:val="both"/>
        <w:rPr>
          <w:rFonts w:cstheme="minorHAnsi"/>
        </w:rPr>
      </w:pPr>
    </w:p>
    <w:p w14:paraId="6DB2BD59" w14:textId="0B9F27A5" w:rsidR="000C63CB" w:rsidRPr="00152CA4" w:rsidRDefault="000C63CB" w:rsidP="000C63CB">
      <w:pPr>
        <w:jc w:val="center"/>
        <w:rPr>
          <w:rFonts w:cstheme="minorHAnsi"/>
          <w:sz w:val="30"/>
          <w:szCs w:val="30"/>
        </w:rPr>
      </w:pPr>
    </w:p>
    <w:p w14:paraId="73C097D1" w14:textId="563D13B2" w:rsidR="000C63CB" w:rsidRPr="00152CA4" w:rsidRDefault="000C63CB" w:rsidP="005735FC">
      <w:pPr>
        <w:ind w:firstLine="720"/>
        <w:jc w:val="center"/>
        <w:rPr>
          <w:rFonts w:cstheme="minorHAnsi"/>
          <w:b/>
          <w:bCs/>
          <w:sz w:val="30"/>
          <w:szCs w:val="30"/>
        </w:rPr>
      </w:pPr>
      <w:r w:rsidRPr="00152CA4">
        <w:rPr>
          <w:rFonts w:cstheme="minorHAnsi"/>
          <w:b/>
          <w:bCs/>
          <w:sz w:val="30"/>
          <w:szCs w:val="30"/>
        </w:rPr>
        <w:t>&lt;E</w:t>
      </w:r>
      <w:r w:rsidR="00BF15F4" w:rsidRPr="00152CA4">
        <w:rPr>
          <w:rFonts w:cstheme="minorHAnsi"/>
          <w:b/>
          <w:bCs/>
          <w:sz w:val="30"/>
          <w:szCs w:val="30"/>
        </w:rPr>
        <w:t>ND</w:t>
      </w:r>
      <w:r w:rsidRPr="00152CA4">
        <w:rPr>
          <w:rFonts w:cstheme="minorHAnsi"/>
          <w:b/>
          <w:bCs/>
          <w:sz w:val="30"/>
          <w:szCs w:val="30"/>
        </w:rPr>
        <w:t>&gt;</w:t>
      </w:r>
    </w:p>
    <w:sectPr w:rsidR="000C63CB" w:rsidRPr="00152CA4" w:rsidSect="00BF15F4">
      <w:headerReference w:type="default" r:id="rId10"/>
      <w:footerReference w:type="default" r:id="rId11"/>
      <w:pgSz w:w="11909" w:h="16834" w:code="9"/>
      <w:pgMar w:top="990" w:right="852" w:bottom="936"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B1DF9" w14:textId="77777777" w:rsidR="00FA4F88" w:rsidRDefault="00FA4F88" w:rsidP="00B509D8">
      <w:pPr>
        <w:spacing w:after="0" w:line="240" w:lineRule="auto"/>
      </w:pPr>
      <w:r>
        <w:separator/>
      </w:r>
    </w:p>
  </w:endnote>
  <w:endnote w:type="continuationSeparator" w:id="0">
    <w:p w14:paraId="14047C7D" w14:textId="77777777" w:rsidR="00FA4F88" w:rsidRDefault="00FA4F88" w:rsidP="00B5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973328488"/>
      <w:docPartObj>
        <w:docPartGallery w:val="Page Numbers (Bottom of Page)"/>
        <w:docPartUnique/>
      </w:docPartObj>
    </w:sdtPr>
    <w:sdtEndPr>
      <w:rPr>
        <w:noProof/>
      </w:rPr>
    </w:sdtEndPr>
    <w:sdtContent>
      <w:p w14:paraId="16AA2CCE" w14:textId="26F06E0A" w:rsidR="00806DC0" w:rsidRPr="00806DC0" w:rsidRDefault="00806DC0" w:rsidP="00806DC0">
        <w:pPr>
          <w:pStyle w:val="Footer"/>
          <w:jc w:val="center"/>
          <w:rPr>
            <w:rFonts w:ascii="Verdana" w:hAnsi="Verdana"/>
          </w:rPr>
        </w:pPr>
        <w:r w:rsidRPr="00806DC0">
          <w:rPr>
            <w:rFonts w:ascii="Verdana" w:hAnsi="Verdana"/>
          </w:rPr>
          <w:fldChar w:fldCharType="begin"/>
        </w:r>
        <w:r w:rsidRPr="00806DC0">
          <w:rPr>
            <w:rFonts w:ascii="Verdana" w:hAnsi="Verdana"/>
          </w:rPr>
          <w:instrText xml:space="preserve"> PAGE   \* MERGEFORMAT </w:instrText>
        </w:r>
        <w:r w:rsidRPr="00806DC0">
          <w:rPr>
            <w:rFonts w:ascii="Verdana" w:hAnsi="Verdana"/>
          </w:rPr>
          <w:fldChar w:fldCharType="separate"/>
        </w:r>
        <w:r w:rsidR="0012328A">
          <w:rPr>
            <w:rFonts w:ascii="Verdana" w:hAnsi="Verdana"/>
            <w:noProof/>
          </w:rPr>
          <w:t>1</w:t>
        </w:r>
        <w:r w:rsidRPr="00806DC0">
          <w:rPr>
            <w:rFonts w:ascii="Verdana" w:hAnsi="Verdana"/>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46840" w14:textId="77777777" w:rsidR="00FA4F88" w:rsidRDefault="00FA4F88" w:rsidP="00B509D8">
      <w:pPr>
        <w:spacing w:after="0" w:line="240" w:lineRule="auto"/>
      </w:pPr>
      <w:r>
        <w:separator/>
      </w:r>
    </w:p>
  </w:footnote>
  <w:footnote w:type="continuationSeparator" w:id="0">
    <w:p w14:paraId="66A9AF66" w14:textId="77777777" w:rsidR="00FA4F88" w:rsidRDefault="00FA4F88" w:rsidP="00B50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35B4" w14:textId="66B1E0AF" w:rsidR="00881746" w:rsidRPr="00BF15F4" w:rsidRDefault="00881746" w:rsidP="00881746">
    <w:pPr>
      <w:spacing w:after="0"/>
      <w:ind w:left="-142"/>
      <w:jc w:val="center"/>
      <w:rPr>
        <w:rFonts w:ascii="Trebuchet MS" w:hAnsi="Trebuchet MS"/>
        <w:b/>
        <w:bCs/>
      </w:rPr>
    </w:pPr>
    <w:r w:rsidRPr="00BF15F4">
      <w:rPr>
        <w:rFonts w:ascii="Arial" w:hAnsi="Arial" w:cs="Arial"/>
        <w:b/>
        <w:bCs/>
      </w:rPr>
      <w:t>Audit Approach for Addressing Significant Risk of Management Override of Controls (MOC)</w:t>
    </w:r>
  </w:p>
  <w:p w14:paraId="1984A641" w14:textId="77777777" w:rsidR="00BF15F4" w:rsidRDefault="00881746" w:rsidP="00881746">
    <w:pPr>
      <w:spacing w:after="0"/>
      <w:ind w:left="-142"/>
      <w:rPr>
        <w:rFonts w:ascii="Trebuchet MS" w:hAnsi="Trebuchet MS"/>
        <w:sz w:val="20"/>
      </w:rPr>
    </w:pPr>
    <w:r>
      <w:rPr>
        <w:rFonts w:ascii="Trebuchet MS" w:hAnsi="Trebuchet MS"/>
        <w:sz w:val="20"/>
      </w:rPr>
      <w:t xml:space="preserve"> </w:t>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r>
    <w:r>
      <w:rPr>
        <w:rFonts w:ascii="Trebuchet MS" w:hAnsi="Trebuchet MS"/>
        <w:sz w:val="20"/>
      </w:rPr>
      <w:tab/>
      <w:t xml:space="preserve">  </w:t>
    </w:r>
  </w:p>
  <w:p w14:paraId="4262E8A7" w14:textId="3C18ABD4" w:rsidR="00426D0D" w:rsidRPr="00BF15F4" w:rsidRDefault="00426D0D" w:rsidP="00BF15F4">
    <w:pPr>
      <w:spacing w:after="0"/>
      <w:ind w:left="-142"/>
      <w:jc w:val="right"/>
      <w:rPr>
        <w:rFonts w:ascii="Verdana" w:hAnsi="Verdana"/>
        <w:sz w:val="18"/>
        <w:szCs w:val="18"/>
      </w:rPr>
    </w:pPr>
    <w:r w:rsidRPr="00BF15F4">
      <w:rPr>
        <w:rFonts w:ascii="Verdana" w:hAnsi="Verdana"/>
        <w:sz w:val="18"/>
        <w:szCs w:val="18"/>
      </w:rPr>
      <w:t>Nurul Faruk Hasan &amp; Co</w:t>
    </w:r>
  </w:p>
  <w:p w14:paraId="67842D86" w14:textId="16FD12EB" w:rsidR="00426D0D" w:rsidRPr="00BF15F4" w:rsidRDefault="00426D0D" w:rsidP="00BF15F4">
    <w:pPr>
      <w:pStyle w:val="Header"/>
      <w:tabs>
        <w:tab w:val="clear" w:pos="4513"/>
        <w:tab w:val="clear" w:pos="9026"/>
      </w:tabs>
      <w:rPr>
        <w:rFonts w:ascii="Verdana" w:hAnsi="Verdana"/>
        <w:sz w:val="18"/>
        <w:szCs w:val="18"/>
      </w:rPr>
    </w:pPr>
    <w:r w:rsidRPr="00BF15F4">
      <w:rPr>
        <w:rFonts w:ascii="Verdana" w:hAnsi="Verdana"/>
        <w:sz w:val="18"/>
        <w:szCs w:val="18"/>
      </w:rPr>
      <w:tab/>
    </w:r>
    <w:r w:rsidRPr="00BF15F4">
      <w:rPr>
        <w:rFonts w:ascii="Verdana" w:hAnsi="Verdana"/>
        <w:sz w:val="18"/>
        <w:szCs w:val="18"/>
      </w:rPr>
      <w:tab/>
    </w:r>
    <w:r w:rsidR="00806DC0" w:rsidRPr="00BF15F4">
      <w:rPr>
        <w:rFonts w:ascii="Verdana" w:hAnsi="Verdana"/>
        <w:sz w:val="18"/>
        <w:szCs w:val="18"/>
      </w:rPr>
      <w:t xml:space="preserve">        </w:t>
    </w:r>
    <w:r w:rsidR="00806DC0" w:rsidRPr="00BF15F4">
      <w:rPr>
        <w:rFonts w:ascii="Verdana" w:hAnsi="Verdana"/>
        <w:sz w:val="18"/>
        <w:szCs w:val="18"/>
      </w:rPr>
      <w:tab/>
    </w:r>
    <w:r w:rsidR="00806DC0" w:rsidRPr="00BF15F4">
      <w:rPr>
        <w:rFonts w:ascii="Verdana" w:hAnsi="Verdana"/>
        <w:sz w:val="18"/>
        <w:szCs w:val="18"/>
      </w:rPr>
      <w:tab/>
    </w:r>
    <w:r w:rsidR="00806DC0" w:rsidRPr="00BF15F4">
      <w:rPr>
        <w:rFonts w:ascii="Verdana" w:hAnsi="Verdana"/>
        <w:sz w:val="18"/>
        <w:szCs w:val="18"/>
      </w:rPr>
      <w:tab/>
    </w:r>
    <w:r w:rsidR="00806DC0" w:rsidRPr="00BF15F4">
      <w:rPr>
        <w:rFonts w:ascii="Verdana" w:hAnsi="Verdana"/>
        <w:sz w:val="18"/>
        <w:szCs w:val="18"/>
      </w:rPr>
      <w:tab/>
    </w:r>
    <w:r w:rsidR="00806DC0" w:rsidRPr="00BF15F4">
      <w:rPr>
        <w:rFonts w:ascii="Verdana" w:hAnsi="Verdana"/>
        <w:sz w:val="18"/>
        <w:szCs w:val="18"/>
      </w:rPr>
      <w:tab/>
    </w:r>
    <w:r w:rsidR="00806DC0" w:rsidRPr="00BF15F4">
      <w:rPr>
        <w:rFonts w:ascii="Verdana" w:hAnsi="Verdana"/>
        <w:sz w:val="18"/>
        <w:szCs w:val="18"/>
      </w:rPr>
      <w:tab/>
    </w:r>
    <w:r w:rsidR="00806DC0" w:rsidRPr="00BF15F4">
      <w:rPr>
        <w:rFonts w:ascii="Verdana" w:hAnsi="Verdana"/>
        <w:sz w:val="18"/>
        <w:szCs w:val="18"/>
      </w:rPr>
      <w:tab/>
      <w:t xml:space="preserve">     </w:t>
    </w:r>
    <w:r w:rsidR="00881746" w:rsidRPr="00BF15F4">
      <w:rPr>
        <w:rFonts w:ascii="Verdana" w:hAnsi="Verdana"/>
        <w:sz w:val="18"/>
        <w:szCs w:val="18"/>
      </w:rPr>
      <w:t xml:space="preserve">    </w:t>
    </w:r>
    <w:r w:rsidR="00806DC0" w:rsidRPr="00BF15F4">
      <w:rPr>
        <w:rFonts w:ascii="Verdana" w:hAnsi="Verdana"/>
        <w:sz w:val="18"/>
        <w:szCs w:val="18"/>
      </w:rPr>
      <w:t xml:space="preserve">  </w:t>
    </w:r>
    <w:r w:rsidR="00BF15F4" w:rsidRPr="00BF15F4">
      <w:rPr>
        <w:rFonts w:ascii="Verdana" w:hAnsi="Verdana"/>
        <w:sz w:val="18"/>
        <w:szCs w:val="18"/>
      </w:rPr>
      <w:t xml:space="preserve">    </w:t>
    </w:r>
    <w:r w:rsidR="00BF15F4">
      <w:rPr>
        <w:rFonts w:ascii="Verdana" w:hAnsi="Verdana"/>
        <w:sz w:val="18"/>
        <w:szCs w:val="18"/>
      </w:rPr>
      <w:t xml:space="preserve">      </w:t>
    </w:r>
    <w:r w:rsidRPr="00BF15F4">
      <w:rPr>
        <w:rFonts w:ascii="Verdana" w:hAnsi="Verdana"/>
        <w:sz w:val="18"/>
        <w:szCs w:val="18"/>
      </w:rPr>
      <w:t>Chartered Accountants</w:t>
    </w:r>
  </w:p>
  <w:p w14:paraId="734C895E" w14:textId="04C34766" w:rsidR="00881746" w:rsidRDefault="00881746" w:rsidP="00806DC0">
    <w:pPr>
      <w:pStyle w:val="Header"/>
      <w:tabs>
        <w:tab w:val="clear" w:pos="4513"/>
        <w:tab w:val="clear" w:pos="9026"/>
      </w:tabs>
      <w:ind w:right="-90"/>
      <w:rPr>
        <w:rFonts w:ascii="Verdana" w:hAnsi="Verdana"/>
        <w:sz w:val="20"/>
      </w:rPr>
    </w:pPr>
  </w:p>
  <w:p w14:paraId="5296BA1E" w14:textId="77777777" w:rsidR="00881746" w:rsidRPr="00806DC0" w:rsidRDefault="00881746" w:rsidP="00806DC0">
    <w:pPr>
      <w:pStyle w:val="Header"/>
      <w:tabs>
        <w:tab w:val="clear" w:pos="4513"/>
        <w:tab w:val="clear" w:pos="9026"/>
      </w:tabs>
      <w:ind w:right="-90"/>
      <w:rPr>
        <w:rFonts w:ascii="Verdana" w:hAnsi="Verdana"/>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37B"/>
    <w:multiLevelType w:val="hybridMultilevel"/>
    <w:tmpl w:val="35F698FA"/>
    <w:lvl w:ilvl="0" w:tplc="E50ED96A">
      <w:start w:val="1"/>
      <w:numFmt w:val="decimal"/>
      <w:lvlText w:val="%1."/>
      <w:lvlJc w:val="left"/>
      <w:pPr>
        <w:ind w:left="270" w:hanging="360"/>
      </w:pPr>
      <w:rPr>
        <w:rFonts w:hint="default"/>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1" w15:restartNumberingAfterBreak="0">
    <w:nsid w:val="060B7658"/>
    <w:multiLevelType w:val="hybridMultilevel"/>
    <w:tmpl w:val="7AEAD192"/>
    <w:lvl w:ilvl="0" w:tplc="C376FA6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EB901A1"/>
    <w:multiLevelType w:val="hybridMultilevel"/>
    <w:tmpl w:val="3CDC1D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7708D"/>
    <w:multiLevelType w:val="hybridMultilevel"/>
    <w:tmpl w:val="B3B6F758"/>
    <w:lvl w:ilvl="0" w:tplc="F4644B56">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 w15:restartNumberingAfterBreak="0">
    <w:nsid w:val="1BB772E8"/>
    <w:multiLevelType w:val="hybridMultilevel"/>
    <w:tmpl w:val="690A11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757732"/>
    <w:multiLevelType w:val="hybridMultilevel"/>
    <w:tmpl w:val="97DC5E3E"/>
    <w:lvl w:ilvl="0" w:tplc="2E46BD32">
      <w:start w:val="1"/>
      <w:numFmt w:val="decimal"/>
      <w:lvlText w:val="%1."/>
      <w:lvlJc w:val="left"/>
      <w:pPr>
        <w:ind w:left="270" w:hanging="360"/>
      </w:pPr>
      <w:rPr>
        <w:rFonts w:hint="default"/>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6" w15:restartNumberingAfterBreak="0">
    <w:nsid w:val="27924E33"/>
    <w:multiLevelType w:val="hybridMultilevel"/>
    <w:tmpl w:val="9348B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B640E"/>
    <w:multiLevelType w:val="hybridMultilevel"/>
    <w:tmpl w:val="2E0E2322"/>
    <w:lvl w:ilvl="0" w:tplc="DAEC40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7C0915"/>
    <w:multiLevelType w:val="hybridMultilevel"/>
    <w:tmpl w:val="5412C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002984"/>
    <w:multiLevelType w:val="hybridMultilevel"/>
    <w:tmpl w:val="9B0E1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9C4B73"/>
    <w:multiLevelType w:val="hybridMultilevel"/>
    <w:tmpl w:val="615A5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23A33"/>
    <w:multiLevelType w:val="hybridMultilevel"/>
    <w:tmpl w:val="FACE5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B23C3"/>
    <w:multiLevelType w:val="hybridMultilevel"/>
    <w:tmpl w:val="8B388398"/>
    <w:lvl w:ilvl="0" w:tplc="2580F2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76719AC"/>
    <w:multiLevelType w:val="hybridMultilevel"/>
    <w:tmpl w:val="1ECCF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77F91"/>
    <w:multiLevelType w:val="hybridMultilevel"/>
    <w:tmpl w:val="78E69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951496"/>
    <w:multiLevelType w:val="hybridMultilevel"/>
    <w:tmpl w:val="24F8C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601A50"/>
    <w:multiLevelType w:val="hybridMultilevel"/>
    <w:tmpl w:val="FDC4D1C6"/>
    <w:lvl w:ilvl="0" w:tplc="495A68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FE4652"/>
    <w:multiLevelType w:val="hybridMultilevel"/>
    <w:tmpl w:val="61186E78"/>
    <w:lvl w:ilvl="0" w:tplc="4FE43F54">
      <w:start w:val="1"/>
      <w:numFmt w:val="lowerRoman"/>
      <w:lvlText w:val="%1."/>
      <w:lvlJc w:val="left"/>
      <w:pPr>
        <w:ind w:left="1800" w:hanging="720"/>
      </w:pPr>
      <w:rPr>
        <w:rFonts w:hint="default"/>
        <w:b/>
        <w:bCs/>
        <w:strike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203B6C"/>
    <w:multiLevelType w:val="hybridMultilevel"/>
    <w:tmpl w:val="DFD8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A54C54"/>
    <w:multiLevelType w:val="hybridMultilevel"/>
    <w:tmpl w:val="AD1232F2"/>
    <w:lvl w:ilvl="0" w:tplc="4656CA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0C21815"/>
    <w:multiLevelType w:val="hybridMultilevel"/>
    <w:tmpl w:val="C792A766"/>
    <w:lvl w:ilvl="0" w:tplc="8972686A">
      <w:start w:val="1"/>
      <w:numFmt w:val="decimal"/>
      <w:lvlText w:val="%1."/>
      <w:lvlJc w:val="left"/>
      <w:pPr>
        <w:ind w:left="270" w:hanging="360"/>
      </w:pPr>
      <w:rPr>
        <w:rFonts w:hint="default"/>
        <w:b/>
        <w:color w:val="auto"/>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21" w15:restartNumberingAfterBreak="0">
    <w:nsid w:val="40CF7B88"/>
    <w:multiLevelType w:val="hybridMultilevel"/>
    <w:tmpl w:val="C164B83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4CC1BF8"/>
    <w:multiLevelType w:val="hybridMultilevel"/>
    <w:tmpl w:val="8014E7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3" w15:restartNumberingAfterBreak="0">
    <w:nsid w:val="4DAA3B6A"/>
    <w:multiLevelType w:val="hybridMultilevel"/>
    <w:tmpl w:val="CBE6CD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4D45965"/>
    <w:multiLevelType w:val="hybridMultilevel"/>
    <w:tmpl w:val="AC862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FA263F"/>
    <w:multiLevelType w:val="hybridMultilevel"/>
    <w:tmpl w:val="4B7C38C4"/>
    <w:lvl w:ilvl="0" w:tplc="0756D54C">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8D2577"/>
    <w:multiLevelType w:val="hybridMultilevel"/>
    <w:tmpl w:val="1F882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B131CC"/>
    <w:multiLevelType w:val="hybridMultilevel"/>
    <w:tmpl w:val="ECD2E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B72175"/>
    <w:multiLevelType w:val="hybridMultilevel"/>
    <w:tmpl w:val="B3B6F758"/>
    <w:lvl w:ilvl="0" w:tplc="F4644B56">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9" w15:restartNumberingAfterBreak="0">
    <w:nsid w:val="77486537"/>
    <w:multiLevelType w:val="hybridMultilevel"/>
    <w:tmpl w:val="81B6B3F8"/>
    <w:lvl w:ilvl="0" w:tplc="43F0E1F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610EE7"/>
    <w:multiLevelType w:val="hybridMultilevel"/>
    <w:tmpl w:val="3D02D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D32751"/>
    <w:multiLevelType w:val="hybridMultilevel"/>
    <w:tmpl w:val="61186E78"/>
    <w:lvl w:ilvl="0" w:tplc="4FE43F54">
      <w:start w:val="1"/>
      <w:numFmt w:val="lowerRoman"/>
      <w:lvlText w:val="%1."/>
      <w:lvlJc w:val="left"/>
      <w:pPr>
        <w:ind w:left="1800" w:hanging="720"/>
      </w:pPr>
      <w:rPr>
        <w:rFonts w:hint="default"/>
        <w:b/>
        <w:bCs/>
        <w:strike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2"/>
  </w:num>
  <w:num w:numId="3">
    <w:abstractNumId w:val="21"/>
  </w:num>
  <w:num w:numId="4">
    <w:abstractNumId w:val="6"/>
  </w:num>
  <w:num w:numId="5">
    <w:abstractNumId w:val="26"/>
  </w:num>
  <w:num w:numId="6">
    <w:abstractNumId w:val="18"/>
  </w:num>
  <w:num w:numId="7">
    <w:abstractNumId w:val="3"/>
  </w:num>
  <w:num w:numId="8">
    <w:abstractNumId w:val="1"/>
  </w:num>
  <w:num w:numId="9">
    <w:abstractNumId w:val="30"/>
  </w:num>
  <w:num w:numId="10">
    <w:abstractNumId w:val="28"/>
  </w:num>
  <w:num w:numId="11">
    <w:abstractNumId w:val="22"/>
  </w:num>
  <w:num w:numId="12">
    <w:abstractNumId w:val="10"/>
  </w:num>
  <w:num w:numId="13">
    <w:abstractNumId w:val="11"/>
  </w:num>
  <w:num w:numId="14">
    <w:abstractNumId w:val="14"/>
  </w:num>
  <w:num w:numId="15">
    <w:abstractNumId w:val="7"/>
  </w:num>
  <w:num w:numId="16">
    <w:abstractNumId w:val="29"/>
  </w:num>
  <w:num w:numId="17">
    <w:abstractNumId w:val="8"/>
  </w:num>
  <w:num w:numId="18">
    <w:abstractNumId w:val="12"/>
  </w:num>
  <w:num w:numId="19">
    <w:abstractNumId w:val="15"/>
  </w:num>
  <w:num w:numId="20">
    <w:abstractNumId w:val="24"/>
  </w:num>
  <w:num w:numId="21">
    <w:abstractNumId w:val="9"/>
  </w:num>
  <w:num w:numId="22">
    <w:abstractNumId w:val="5"/>
  </w:num>
  <w:num w:numId="23">
    <w:abstractNumId w:val="27"/>
  </w:num>
  <w:num w:numId="24">
    <w:abstractNumId w:val="20"/>
  </w:num>
  <w:num w:numId="25">
    <w:abstractNumId w:val="4"/>
  </w:num>
  <w:num w:numId="26">
    <w:abstractNumId w:val="25"/>
  </w:num>
  <w:num w:numId="27">
    <w:abstractNumId w:val="19"/>
  </w:num>
  <w:num w:numId="28">
    <w:abstractNumId w:val="0"/>
  </w:num>
  <w:num w:numId="29">
    <w:abstractNumId w:val="16"/>
  </w:num>
  <w:num w:numId="30">
    <w:abstractNumId w:val="31"/>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3DF"/>
    <w:rsid w:val="00000B4B"/>
    <w:rsid w:val="00000F84"/>
    <w:rsid w:val="00004358"/>
    <w:rsid w:val="00006868"/>
    <w:rsid w:val="000077E8"/>
    <w:rsid w:val="0001026C"/>
    <w:rsid w:val="00011BFC"/>
    <w:rsid w:val="000131AF"/>
    <w:rsid w:val="000172D4"/>
    <w:rsid w:val="00017516"/>
    <w:rsid w:val="000204BC"/>
    <w:rsid w:val="0002320E"/>
    <w:rsid w:val="000265B1"/>
    <w:rsid w:val="000265B7"/>
    <w:rsid w:val="000365D4"/>
    <w:rsid w:val="00040581"/>
    <w:rsid w:val="00040687"/>
    <w:rsid w:val="000527F0"/>
    <w:rsid w:val="00061D6E"/>
    <w:rsid w:val="00067704"/>
    <w:rsid w:val="00077942"/>
    <w:rsid w:val="00080819"/>
    <w:rsid w:val="00083836"/>
    <w:rsid w:val="0008436A"/>
    <w:rsid w:val="000854EF"/>
    <w:rsid w:val="00085D00"/>
    <w:rsid w:val="00085E0E"/>
    <w:rsid w:val="00091666"/>
    <w:rsid w:val="000934C8"/>
    <w:rsid w:val="00094157"/>
    <w:rsid w:val="00097F7B"/>
    <w:rsid w:val="000A2727"/>
    <w:rsid w:val="000A40B4"/>
    <w:rsid w:val="000A54DF"/>
    <w:rsid w:val="000A751B"/>
    <w:rsid w:val="000B07A0"/>
    <w:rsid w:val="000B1AEF"/>
    <w:rsid w:val="000B212C"/>
    <w:rsid w:val="000B229A"/>
    <w:rsid w:val="000B2631"/>
    <w:rsid w:val="000B26D9"/>
    <w:rsid w:val="000B3643"/>
    <w:rsid w:val="000B4CDF"/>
    <w:rsid w:val="000B52FA"/>
    <w:rsid w:val="000C3CD9"/>
    <w:rsid w:val="000C466B"/>
    <w:rsid w:val="000C4EDE"/>
    <w:rsid w:val="000C63CB"/>
    <w:rsid w:val="000D135A"/>
    <w:rsid w:val="000D3ED5"/>
    <w:rsid w:val="000D5B08"/>
    <w:rsid w:val="000E3D0B"/>
    <w:rsid w:val="000E504E"/>
    <w:rsid w:val="000E707C"/>
    <w:rsid w:val="000F34A5"/>
    <w:rsid w:val="000F4819"/>
    <w:rsid w:val="00100683"/>
    <w:rsid w:val="0010097F"/>
    <w:rsid w:val="0010466E"/>
    <w:rsid w:val="001057BE"/>
    <w:rsid w:val="00111672"/>
    <w:rsid w:val="0011255A"/>
    <w:rsid w:val="00113099"/>
    <w:rsid w:val="0011395C"/>
    <w:rsid w:val="001148C1"/>
    <w:rsid w:val="00116277"/>
    <w:rsid w:val="00116FEF"/>
    <w:rsid w:val="00122020"/>
    <w:rsid w:val="0012328A"/>
    <w:rsid w:val="001273A8"/>
    <w:rsid w:val="00135FC9"/>
    <w:rsid w:val="00151CB0"/>
    <w:rsid w:val="00152CA4"/>
    <w:rsid w:val="00153F20"/>
    <w:rsid w:val="00156885"/>
    <w:rsid w:val="00161C74"/>
    <w:rsid w:val="00166D50"/>
    <w:rsid w:val="00166F40"/>
    <w:rsid w:val="00167C7C"/>
    <w:rsid w:val="00173D0F"/>
    <w:rsid w:val="001752CE"/>
    <w:rsid w:val="00175774"/>
    <w:rsid w:val="00176CD0"/>
    <w:rsid w:val="001771CE"/>
    <w:rsid w:val="001801F1"/>
    <w:rsid w:val="00183FAD"/>
    <w:rsid w:val="001851B4"/>
    <w:rsid w:val="00186D36"/>
    <w:rsid w:val="00192826"/>
    <w:rsid w:val="00194B39"/>
    <w:rsid w:val="001A17C0"/>
    <w:rsid w:val="001A6016"/>
    <w:rsid w:val="001A65A3"/>
    <w:rsid w:val="001B1415"/>
    <w:rsid w:val="001B2B59"/>
    <w:rsid w:val="001B361E"/>
    <w:rsid w:val="001B417F"/>
    <w:rsid w:val="001B64B4"/>
    <w:rsid w:val="001C0844"/>
    <w:rsid w:val="001C3239"/>
    <w:rsid w:val="001C35DD"/>
    <w:rsid w:val="001C559A"/>
    <w:rsid w:val="001C7B1E"/>
    <w:rsid w:val="001D0ACD"/>
    <w:rsid w:val="001D37F5"/>
    <w:rsid w:val="001D6BA2"/>
    <w:rsid w:val="001D6BD9"/>
    <w:rsid w:val="001D7DE4"/>
    <w:rsid w:val="001E3439"/>
    <w:rsid w:val="001E5560"/>
    <w:rsid w:val="001E690B"/>
    <w:rsid w:val="001E699F"/>
    <w:rsid w:val="001E7A4D"/>
    <w:rsid w:val="001F0830"/>
    <w:rsid w:val="001F1232"/>
    <w:rsid w:val="001F3197"/>
    <w:rsid w:val="001F3D53"/>
    <w:rsid w:val="001F4CCA"/>
    <w:rsid w:val="00200DA9"/>
    <w:rsid w:val="002028B6"/>
    <w:rsid w:val="00203A8D"/>
    <w:rsid w:val="00205341"/>
    <w:rsid w:val="00210016"/>
    <w:rsid w:val="0021057E"/>
    <w:rsid w:val="00212CA8"/>
    <w:rsid w:val="00214B4C"/>
    <w:rsid w:val="00220B77"/>
    <w:rsid w:val="0022238F"/>
    <w:rsid w:val="00222EA0"/>
    <w:rsid w:val="00224B82"/>
    <w:rsid w:val="00227AF3"/>
    <w:rsid w:val="00230B5A"/>
    <w:rsid w:val="00232F9E"/>
    <w:rsid w:val="0023331A"/>
    <w:rsid w:val="0023673C"/>
    <w:rsid w:val="0023714E"/>
    <w:rsid w:val="0024056D"/>
    <w:rsid w:val="00241D57"/>
    <w:rsid w:val="002424D4"/>
    <w:rsid w:val="0024282D"/>
    <w:rsid w:val="00246D25"/>
    <w:rsid w:val="00247345"/>
    <w:rsid w:val="002475E3"/>
    <w:rsid w:val="00247801"/>
    <w:rsid w:val="00250781"/>
    <w:rsid w:val="00250DCF"/>
    <w:rsid w:val="00256676"/>
    <w:rsid w:val="0026206E"/>
    <w:rsid w:val="00263543"/>
    <w:rsid w:val="00265F03"/>
    <w:rsid w:val="00266B3C"/>
    <w:rsid w:val="002731AC"/>
    <w:rsid w:val="00276A8C"/>
    <w:rsid w:val="002812D5"/>
    <w:rsid w:val="00284E1D"/>
    <w:rsid w:val="00285376"/>
    <w:rsid w:val="002856B7"/>
    <w:rsid w:val="00290B3D"/>
    <w:rsid w:val="00290C02"/>
    <w:rsid w:val="0029486E"/>
    <w:rsid w:val="00296570"/>
    <w:rsid w:val="00296FD7"/>
    <w:rsid w:val="002A0556"/>
    <w:rsid w:val="002A11C8"/>
    <w:rsid w:val="002A33BA"/>
    <w:rsid w:val="002A352B"/>
    <w:rsid w:val="002A6A96"/>
    <w:rsid w:val="002A72BE"/>
    <w:rsid w:val="002B0E12"/>
    <w:rsid w:val="002B52A0"/>
    <w:rsid w:val="002C15C1"/>
    <w:rsid w:val="002C42A3"/>
    <w:rsid w:val="002C5960"/>
    <w:rsid w:val="002C617A"/>
    <w:rsid w:val="002C7508"/>
    <w:rsid w:val="002D27C6"/>
    <w:rsid w:val="002E6E23"/>
    <w:rsid w:val="002E6E42"/>
    <w:rsid w:val="002E72F9"/>
    <w:rsid w:val="002F1CF2"/>
    <w:rsid w:val="002F271E"/>
    <w:rsid w:val="002F3571"/>
    <w:rsid w:val="002F60D2"/>
    <w:rsid w:val="00301F33"/>
    <w:rsid w:val="0030394A"/>
    <w:rsid w:val="003049C3"/>
    <w:rsid w:val="00312D39"/>
    <w:rsid w:val="00312FB8"/>
    <w:rsid w:val="00313CA4"/>
    <w:rsid w:val="00325C8A"/>
    <w:rsid w:val="00326429"/>
    <w:rsid w:val="003307C2"/>
    <w:rsid w:val="0033345D"/>
    <w:rsid w:val="003364D6"/>
    <w:rsid w:val="003406A0"/>
    <w:rsid w:val="003411F6"/>
    <w:rsid w:val="003421E4"/>
    <w:rsid w:val="00343769"/>
    <w:rsid w:val="0034424B"/>
    <w:rsid w:val="003452B3"/>
    <w:rsid w:val="0034710C"/>
    <w:rsid w:val="00351E25"/>
    <w:rsid w:val="00353B6D"/>
    <w:rsid w:val="0036001A"/>
    <w:rsid w:val="0036255A"/>
    <w:rsid w:val="0036506A"/>
    <w:rsid w:val="00365B2D"/>
    <w:rsid w:val="003671BD"/>
    <w:rsid w:val="003708F8"/>
    <w:rsid w:val="00371232"/>
    <w:rsid w:val="0037130C"/>
    <w:rsid w:val="00373320"/>
    <w:rsid w:val="00373B9B"/>
    <w:rsid w:val="00375115"/>
    <w:rsid w:val="00376E3B"/>
    <w:rsid w:val="00381EA8"/>
    <w:rsid w:val="00386985"/>
    <w:rsid w:val="003876C8"/>
    <w:rsid w:val="0039220C"/>
    <w:rsid w:val="0039449E"/>
    <w:rsid w:val="003949E8"/>
    <w:rsid w:val="00395527"/>
    <w:rsid w:val="00395674"/>
    <w:rsid w:val="00395E5E"/>
    <w:rsid w:val="003968DD"/>
    <w:rsid w:val="00396C0C"/>
    <w:rsid w:val="003A1ACC"/>
    <w:rsid w:val="003A1F7E"/>
    <w:rsid w:val="003A37E0"/>
    <w:rsid w:val="003A5A5E"/>
    <w:rsid w:val="003B4118"/>
    <w:rsid w:val="003B6CB1"/>
    <w:rsid w:val="003C7309"/>
    <w:rsid w:val="003D1067"/>
    <w:rsid w:val="003D1F93"/>
    <w:rsid w:val="003D2201"/>
    <w:rsid w:val="003D765A"/>
    <w:rsid w:val="003D7DB0"/>
    <w:rsid w:val="003E3156"/>
    <w:rsid w:val="003E3240"/>
    <w:rsid w:val="003E3C59"/>
    <w:rsid w:val="003E6A6E"/>
    <w:rsid w:val="003F01A5"/>
    <w:rsid w:val="003F40A4"/>
    <w:rsid w:val="003F4D1D"/>
    <w:rsid w:val="00403F43"/>
    <w:rsid w:val="00404174"/>
    <w:rsid w:val="00407B3E"/>
    <w:rsid w:val="00414E99"/>
    <w:rsid w:val="004152A8"/>
    <w:rsid w:val="0042152A"/>
    <w:rsid w:val="004216CA"/>
    <w:rsid w:val="00424343"/>
    <w:rsid w:val="00424B44"/>
    <w:rsid w:val="00426D0D"/>
    <w:rsid w:val="004274A3"/>
    <w:rsid w:val="00427CF4"/>
    <w:rsid w:val="00436E01"/>
    <w:rsid w:val="004424F0"/>
    <w:rsid w:val="00443FE1"/>
    <w:rsid w:val="0044491E"/>
    <w:rsid w:val="00444A4A"/>
    <w:rsid w:val="00444D73"/>
    <w:rsid w:val="0044590B"/>
    <w:rsid w:val="00454075"/>
    <w:rsid w:val="00454F36"/>
    <w:rsid w:val="00455619"/>
    <w:rsid w:val="00457AD4"/>
    <w:rsid w:val="0046217D"/>
    <w:rsid w:val="00464E87"/>
    <w:rsid w:val="00465B33"/>
    <w:rsid w:val="00472074"/>
    <w:rsid w:val="00481B7D"/>
    <w:rsid w:val="004854EF"/>
    <w:rsid w:val="004929C6"/>
    <w:rsid w:val="00494988"/>
    <w:rsid w:val="004951A1"/>
    <w:rsid w:val="00495DA9"/>
    <w:rsid w:val="00496325"/>
    <w:rsid w:val="004A2028"/>
    <w:rsid w:val="004A2F6B"/>
    <w:rsid w:val="004A497F"/>
    <w:rsid w:val="004A49CD"/>
    <w:rsid w:val="004B0441"/>
    <w:rsid w:val="004B3C87"/>
    <w:rsid w:val="004B4402"/>
    <w:rsid w:val="004B4EE0"/>
    <w:rsid w:val="004B7ECD"/>
    <w:rsid w:val="004C24D7"/>
    <w:rsid w:val="004C3B52"/>
    <w:rsid w:val="004C5C79"/>
    <w:rsid w:val="004C6366"/>
    <w:rsid w:val="004C6B16"/>
    <w:rsid w:val="004D074E"/>
    <w:rsid w:val="004D2267"/>
    <w:rsid w:val="004D450F"/>
    <w:rsid w:val="004E007F"/>
    <w:rsid w:val="004E17E8"/>
    <w:rsid w:val="004E184A"/>
    <w:rsid w:val="004E3255"/>
    <w:rsid w:val="004E6879"/>
    <w:rsid w:val="004F3779"/>
    <w:rsid w:val="004F7516"/>
    <w:rsid w:val="0050304E"/>
    <w:rsid w:val="00506BC2"/>
    <w:rsid w:val="0051105E"/>
    <w:rsid w:val="00511938"/>
    <w:rsid w:val="00513ABA"/>
    <w:rsid w:val="00513BEC"/>
    <w:rsid w:val="00513F9F"/>
    <w:rsid w:val="00526FBD"/>
    <w:rsid w:val="005270AC"/>
    <w:rsid w:val="00533DEC"/>
    <w:rsid w:val="0054152E"/>
    <w:rsid w:val="00546681"/>
    <w:rsid w:val="005470D7"/>
    <w:rsid w:val="00554B97"/>
    <w:rsid w:val="00555064"/>
    <w:rsid w:val="00564C99"/>
    <w:rsid w:val="005735FC"/>
    <w:rsid w:val="005752CB"/>
    <w:rsid w:val="00577290"/>
    <w:rsid w:val="00581921"/>
    <w:rsid w:val="0058637E"/>
    <w:rsid w:val="0059222B"/>
    <w:rsid w:val="00592F71"/>
    <w:rsid w:val="00593EBB"/>
    <w:rsid w:val="00594373"/>
    <w:rsid w:val="005954C0"/>
    <w:rsid w:val="0059574A"/>
    <w:rsid w:val="005965FF"/>
    <w:rsid w:val="00596FA3"/>
    <w:rsid w:val="005A02EC"/>
    <w:rsid w:val="005B0C56"/>
    <w:rsid w:val="005B14ED"/>
    <w:rsid w:val="005B2187"/>
    <w:rsid w:val="005B3BD6"/>
    <w:rsid w:val="005B5B98"/>
    <w:rsid w:val="005B70C7"/>
    <w:rsid w:val="005C2C9E"/>
    <w:rsid w:val="005C7E49"/>
    <w:rsid w:val="005D16ED"/>
    <w:rsid w:val="005D3038"/>
    <w:rsid w:val="005D33D1"/>
    <w:rsid w:val="005D7F78"/>
    <w:rsid w:val="005E05B9"/>
    <w:rsid w:val="005E1F06"/>
    <w:rsid w:val="005E43BA"/>
    <w:rsid w:val="0060106F"/>
    <w:rsid w:val="00605ACA"/>
    <w:rsid w:val="00605CF0"/>
    <w:rsid w:val="00610642"/>
    <w:rsid w:val="00610BF1"/>
    <w:rsid w:val="00611CED"/>
    <w:rsid w:val="006148A4"/>
    <w:rsid w:val="006154E2"/>
    <w:rsid w:val="0061556E"/>
    <w:rsid w:val="00616288"/>
    <w:rsid w:val="006221F2"/>
    <w:rsid w:val="00622D6C"/>
    <w:rsid w:val="006271AA"/>
    <w:rsid w:val="00632C33"/>
    <w:rsid w:val="0063398D"/>
    <w:rsid w:val="00636E8D"/>
    <w:rsid w:val="006379B0"/>
    <w:rsid w:val="0064135F"/>
    <w:rsid w:val="00646F1A"/>
    <w:rsid w:val="00651407"/>
    <w:rsid w:val="00651928"/>
    <w:rsid w:val="00652B87"/>
    <w:rsid w:val="006567F9"/>
    <w:rsid w:val="00660548"/>
    <w:rsid w:val="00660B1A"/>
    <w:rsid w:val="00662056"/>
    <w:rsid w:val="00671D5C"/>
    <w:rsid w:val="006736F3"/>
    <w:rsid w:val="00675017"/>
    <w:rsid w:val="00675EA6"/>
    <w:rsid w:val="00684F1F"/>
    <w:rsid w:val="006866D6"/>
    <w:rsid w:val="00687BCC"/>
    <w:rsid w:val="0069478F"/>
    <w:rsid w:val="00696E27"/>
    <w:rsid w:val="006A0F42"/>
    <w:rsid w:val="006A10F0"/>
    <w:rsid w:val="006A2A56"/>
    <w:rsid w:val="006B32AB"/>
    <w:rsid w:val="006B4272"/>
    <w:rsid w:val="006B484A"/>
    <w:rsid w:val="006B5533"/>
    <w:rsid w:val="006C0968"/>
    <w:rsid w:val="006C0EF8"/>
    <w:rsid w:val="006C0F85"/>
    <w:rsid w:val="006C160C"/>
    <w:rsid w:val="006C25AA"/>
    <w:rsid w:val="006C2F99"/>
    <w:rsid w:val="006C63A5"/>
    <w:rsid w:val="006D09D0"/>
    <w:rsid w:val="006D1E5C"/>
    <w:rsid w:val="006D5A3D"/>
    <w:rsid w:val="006D78EE"/>
    <w:rsid w:val="006E218D"/>
    <w:rsid w:val="006E275A"/>
    <w:rsid w:val="006E3E5C"/>
    <w:rsid w:val="006E7A4B"/>
    <w:rsid w:val="006F0424"/>
    <w:rsid w:val="006F1139"/>
    <w:rsid w:val="006F1872"/>
    <w:rsid w:val="006F45AF"/>
    <w:rsid w:val="006F4B53"/>
    <w:rsid w:val="007065C5"/>
    <w:rsid w:val="007077C5"/>
    <w:rsid w:val="007078F4"/>
    <w:rsid w:val="007148BA"/>
    <w:rsid w:val="00716FB9"/>
    <w:rsid w:val="0072172A"/>
    <w:rsid w:val="007242B8"/>
    <w:rsid w:val="007251C8"/>
    <w:rsid w:val="007252DF"/>
    <w:rsid w:val="007314F1"/>
    <w:rsid w:val="00733AED"/>
    <w:rsid w:val="00735E2A"/>
    <w:rsid w:val="007364DA"/>
    <w:rsid w:val="007373D1"/>
    <w:rsid w:val="00742299"/>
    <w:rsid w:val="007450D0"/>
    <w:rsid w:val="007474BA"/>
    <w:rsid w:val="00747FE0"/>
    <w:rsid w:val="00750A75"/>
    <w:rsid w:val="007614A6"/>
    <w:rsid w:val="0076356D"/>
    <w:rsid w:val="00765C0D"/>
    <w:rsid w:val="00766A21"/>
    <w:rsid w:val="00770B7D"/>
    <w:rsid w:val="0077257D"/>
    <w:rsid w:val="00772EBC"/>
    <w:rsid w:val="00774781"/>
    <w:rsid w:val="00780EB7"/>
    <w:rsid w:val="00782852"/>
    <w:rsid w:val="00783332"/>
    <w:rsid w:val="00784B70"/>
    <w:rsid w:val="0078536A"/>
    <w:rsid w:val="00792A59"/>
    <w:rsid w:val="00792C48"/>
    <w:rsid w:val="007A00D8"/>
    <w:rsid w:val="007A0DCD"/>
    <w:rsid w:val="007A728A"/>
    <w:rsid w:val="007B2826"/>
    <w:rsid w:val="007B7BDA"/>
    <w:rsid w:val="007C0589"/>
    <w:rsid w:val="007C1885"/>
    <w:rsid w:val="007C4A0C"/>
    <w:rsid w:val="007C5EAB"/>
    <w:rsid w:val="007C793C"/>
    <w:rsid w:val="007D0667"/>
    <w:rsid w:val="007D1B2E"/>
    <w:rsid w:val="007D3933"/>
    <w:rsid w:val="007D582B"/>
    <w:rsid w:val="007D7910"/>
    <w:rsid w:val="007E0685"/>
    <w:rsid w:val="007E40FD"/>
    <w:rsid w:val="007E7192"/>
    <w:rsid w:val="007F0771"/>
    <w:rsid w:val="007F33DF"/>
    <w:rsid w:val="007F688A"/>
    <w:rsid w:val="007F7AD4"/>
    <w:rsid w:val="007F7CD0"/>
    <w:rsid w:val="008008F2"/>
    <w:rsid w:val="0080673F"/>
    <w:rsid w:val="00806DC0"/>
    <w:rsid w:val="00807653"/>
    <w:rsid w:val="00812907"/>
    <w:rsid w:val="008150D2"/>
    <w:rsid w:val="0081582E"/>
    <w:rsid w:val="008204AB"/>
    <w:rsid w:val="00820CE1"/>
    <w:rsid w:val="0082230E"/>
    <w:rsid w:val="00824136"/>
    <w:rsid w:val="00826DA2"/>
    <w:rsid w:val="008304BC"/>
    <w:rsid w:val="008316EC"/>
    <w:rsid w:val="00833625"/>
    <w:rsid w:val="008362C0"/>
    <w:rsid w:val="008472C9"/>
    <w:rsid w:val="008473E8"/>
    <w:rsid w:val="00847460"/>
    <w:rsid w:val="00850BF9"/>
    <w:rsid w:val="00852218"/>
    <w:rsid w:val="00852558"/>
    <w:rsid w:val="0085491B"/>
    <w:rsid w:val="0085709C"/>
    <w:rsid w:val="00857B86"/>
    <w:rsid w:val="00867427"/>
    <w:rsid w:val="00867B9E"/>
    <w:rsid w:val="00870ED7"/>
    <w:rsid w:val="0087481E"/>
    <w:rsid w:val="00881746"/>
    <w:rsid w:val="00883777"/>
    <w:rsid w:val="008916CB"/>
    <w:rsid w:val="0089353D"/>
    <w:rsid w:val="008942FD"/>
    <w:rsid w:val="008963DC"/>
    <w:rsid w:val="00896B25"/>
    <w:rsid w:val="008A02A5"/>
    <w:rsid w:val="008B189F"/>
    <w:rsid w:val="008B19A3"/>
    <w:rsid w:val="008B209A"/>
    <w:rsid w:val="008B2BF0"/>
    <w:rsid w:val="008B6D55"/>
    <w:rsid w:val="008C06BC"/>
    <w:rsid w:val="008C37F9"/>
    <w:rsid w:val="008C4F5F"/>
    <w:rsid w:val="008C55B6"/>
    <w:rsid w:val="008D3B18"/>
    <w:rsid w:val="008D6D24"/>
    <w:rsid w:val="008E0497"/>
    <w:rsid w:val="008E1C9B"/>
    <w:rsid w:val="008E2F5F"/>
    <w:rsid w:val="008E37B9"/>
    <w:rsid w:val="008E5B30"/>
    <w:rsid w:val="008E6EB6"/>
    <w:rsid w:val="008E76FD"/>
    <w:rsid w:val="008F0143"/>
    <w:rsid w:val="008F0C29"/>
    <w:rsid w:val="008F13EF"/>
    <w:rsid w:val="008F3142"/>
    <w:rsid w:val="008F51E1"/>
    <w:rsid w:val="008F5F3E"/>
    <w:rsid w:val="008F602C"/>
    <w:rsid w:val="009009A1"/>
    <w:rsid w:val="00902BE0"/>
    <w:rsid w:val="00902E70"/>
    <w:rsid w:val="00903214"/>
    <w:rsid w:val="00904FB4"/>
    <w:rsid w:val="00906231"/>
    <w:rsid w:val="00906454"/>
    <w:rsid w:val="00907E74"/>
    <w:rsid w:val="00911F3B"/>
    <w:rsid w:val="00913808"/>
    <w:rsid w:val="00920607"/>
    <w:rsid w:val="009247DB"/>
    <w:rsid w:val="00924BE5"/>
    <w:rsid w:val="00924EBA"/>
    <w:rsid w:val="00932ADB"/>
    <w:rsid w:val="00940C17"/>
    <w:rsid w:val="0094120A"/>
    <w:rsid w:val="00941E01"/>
    <w:rsid w:val="00942F63"/>
    <w:rsid w:val="00944D10"/>
    <w:rsid w:val="00951374"/>
    <w:rsid w:val="009527FE"/>
    <w:rsid w:val="00952AAF"/>
    <w:rsid w:val="0095333F"/>
    <w:rsid w:val="00956FE6"/>
    <w:rsid w:val="00960307"/>
    <w:rsid w:val="009736C3"/>
    <w:rsid w:val="0097469C"/>
    <w:rsid w:val="00980175"/>
    <w:rsid w:val="009875E2"/>
    <w:rsid w:val="00993286"/>
    <w:rsid w:val="009959A3"/>
    <w:rsid w:val="009A2A9F"/>
    <w:rsid w:val="009A2EDF"/>
    <w:rsid w:val="009A37B6"/>
    <w:rsid w:val="009A40A5"/>
    <w:rsid w:val="009A56EF"/>
    <w:rsid w:val="009A5CDE"/>
    <w:rsid w:val="009A652E"/>
    <w:rsid w:val="009B0234"/>
    <w:rsid w:val="009B23A4"/>
    <w:rsid w:val="009B2FF9"/>
    <w:rsid w:val="009B6D04"/>
    <w:rsid w:val="009B76C9"/>
    <w:rsid w:val="009C084B"/>
    <w:rsid w:val="009C4078"/>
    <w:rsid w:val="009C56F6"/>
    <w:rsid w:val="009C7AF0"/>
    <w:rsid w:val="009D1A98"/>
    <w:rsid w:val="009D200F"/>
    <w:rsid w:val="009D3406"/>
    <w:rsid w:val="009D368A"/>
    <w:rsid w:val="009D5222"/>
    <w:rsid w:val="009D5B7F"/>
    <w:rsid w:val="009D6A87"/>
    <w:rsid w:val="009E578E"/>
    <w:rsid w:val="009F1159"/>
    <w:rsid w:val="009F1642"/>
    <w:rsid w:val="009F4C2B"/>
    <w:rsid w:val="009F5D33"/>
    <w:rsid w:val="009F6BA6"/>
    <w:rsid w:val="00A07264"/>
    <w:rsid w:val="00A07E07"/>
    <w:rsid w:val="00A07F96"/>
    <w:rsid w:val="00A1687E"/>
    <w:rsid w:val="00A21033"/>
    <w:rsid w:val="00A2178A"/>
    <w:rsid w:val="00A221C0"/>
    <w:rsid w:val="00A22E62"/>
    <w:rsid w:val="00A231DD"/>
    <w:rsid w:val="00A23887"/>
    <w:rsid w:val="00A30242"/>
    <w:rsid w:val="00A30FA0"/>
    <w:rsid w:val="00A31DFB"/>
    <w:rsid w:val="00A32282"/>
    <w:rsid w:val="00A32340"/>
    <w:rsid w:val="00A3716A"/>
    <w:rsid w:val="00A423FD"/>
    <w:rsid w:val="00A455F7"/>
    <w:rsid w:val="00A45D5A"/>
    <w:rsid w:val="00A53F3C"/>
    <w:rsid w:val="00A5405E"/>
    <w:rsid w:val="00A55F14"/>
    <w:rsid w:val="00A5738A"/>
    <w:rsid w:val="00A60AC3"/>
    <w:rsid w:val="00A610C9"/>
    <w:rsid w:val="00A62CD8"/>
    <w:rsid w:val="00A62F57"/>
    <w:rsid w:val="00A6795A"/>
    <w:rsid w:val="00A728A3"/>
    <w:rsid w:val="00A76B62"/>
    <w:rsid w:val="00A8284C"/>
    <w:rsid w:val="00A842F3"/>
    <w:rsid w:val="00A844EB"/>
    <w:rsid w:val="00A8588C"/>
    <w:rsid w:val="00A85CE8"/>
    <w:rsid w:val="00A919C7"/>
    <w:rsid w:val="00A92566"/>
    <w:rsid w:val="00A931B7"/>
    <w:rsid w:val="00A95005"/>
    <w:rsid w:val="00AA25A6"/>
    <w:rsid w:val="00AA531A"/>
    <w:rsid w:val="00AA6C97"/>
    <w:rsid w:val="00AB03C3"/>
    <w:rsid w:val="00AC0444"/>
    <w:rsid w:val="00AC2D18"/>
    <w:rsid w:val="00AC32D3"/>
    <w:rsid w:val="00AC5F5C"/>
    <w:rsid w:val="00AC6FB4"/>
    <w:rsid w:val="00AC7E28"/>
    <w:rsid w:val="00AD3591"/>
    <w:rsid w:val="00AD499E"/>
    <w:rsid w:val="00AE3AC6"/>
    <w:rsid w:val="00AE4344"/>
    <w:rsid w:val="00AF0DCC"/>
    <w:rsid w:val="00AF34A1"/>
    <w:rsid w:val="00AF412F"/>
    <w:rsid w:val="00AF5CCE"/>
    <w:rsid w:val="00AF5FC5"/>
    <w:rsid w:val="00B01266"/>
    <w:rsid w:val="00B03E48"/>
    <w:rsid w:val="00B05558"/>
    <w:rsid w:val="00B106F3"/>
    <w:rsid w:val="00B12FC9"/>
    <w:rsid w:val="00B2119B"/>
    <w:rsid w:val="00B214D7"/>
    <w:rsid w:val="00B24EA3"/>
    <w:rsid w:val="00B26C4E"/>
    <w:rsid w:val="00B32F6C"/>
    <w:rsid w:val="00B3406C"/>
    <w:rsid w:val="00B36A67"/>
    <w:rsid w:val="00B36FE4"/>
    <w:rsid w:val="00B37117"/>
    <w:rsid w:val="00B4364B"/>
    <w:rsid w:val="00B44DC6"/>
    <w:rsid w:val="00B468F5"/>
    <w:rsid w:val="00B4794C"/>
    <w:rsid w:val="00B509D8"/>
    <w:rsid w:val="00B50B8F"/>
    <w:rsid w:val="00B54611"/>
    <w:rsid w:val="00B5539D"/>
    <w:rsid w:val="00B61A1B"/>
    <w:rsid w:val="00B730D0"/>
    <w:rsid w:val="00B8224C"/>
    <w:rsid w:val="00B82E34"/>
    <w:rsid w:val="00B84A81"/>
    <w:rsid w:val="00B856E1"/>
    <w:rsid w:val="00B872FE"/>
    <w:rsid w:val="00B959AD"/>
    <w:rsid w:val="00BA7609"/>
    <w:rsid w:val="00BB0B40"/>
    <w:rsid w:val="00BB3DD4"/>
    <w:rsid w:val="00BB7184"/>
    <w:rsid w:val="00BC117A"/>
    <w:rsid w:val="00BC3707"/>
    <w:rsid w:val="00BC55A6"/>
    <w:rsid w:val="00BC5F78"/>
    <w:rsid w:val="00BD0CBF"/>
    <w:rsid w:val="00BD1E64"/>
    <w:rsid w:val="00BD4DDF"/>
    <w:rsid w:val="00BE13AE"/>
    <w:rsid w:val="00BE1605"/>
    <w:rsid w:val="00BF15F4"/>
    <w:rsid w:val="00BF4C44"/>
    <w:rsid w:val="00BF6F25"/>
    <w:rsid w:val="00C02E62"/>
    <w:rsid w:val="00C041D2"/>
    <w:rsid w:val="00C04725"/>
    <w:rsid w:val="00C058DE"/>
    <w:rsid w:val="00C06DF8"/>
    <w:rsid w:val="00C0725C"/>
    <w:rsid w:val="00C07ABC"/>
    <w:rsid w:val="00C11178"/>
    <w:rsid w:val="00C13288"/>
    <w:rsid w:val="00C137BB"/>
    <w:rsid w:val="00C14406"/>
    <w:rsid w:val="00C14D4C"/>
    <w:rsid w:val="00C15975"/>
    <w:rsid w:val="00C17BE3"/>
    <w:rsid w:val="00C20C08"/>
    <w:rsid w:val="00C22170"/>
    <w:rsid w:val="00C23007"/>
    <w:rsid w:val="00C23E19"/>
    <w:rsid w:val="00C261C0"/>
    <w:rsid w:val="00C26583"/>
    <w:rsid w:val="00C27115"/>
    <w:rsid w:val="00C31819"/>
    <w:rsid w:val="00C33F0C"/>
    <w:rsid w:val="00C3466C"/>
    <w:rsid w:val="00C35E91"/>
    <w:rsid w:val="00C41581"/>
    <w:rsid w:val="00C426FB"/>
    <w:rsid w:val="00C43E4D"/>
    <w:rsid w:val="00C45B86"/>
    <w:rsid w:val="00C53376"/>
    <w:rsid w:val="00C562CA"/>
    <w:rsid w:val="00C5660D"/>
    <w:rsid w:val="00C5785D"/>
    <w:rsid w:val="00C578DE"/>
    <w:rsid w:val="00C57EF7"/>
    <w:rsid w:val="00C62151"/>
    <w:rsid w:val="00C659FF"/>
    <w:rsid w:val="00C66585"/>
    <w:rsid w:val="00C7113F"/>
    <w:rsid w:val="00C7462A"/>
    <w:rsid w:val="00C771FB"/>
    <w:rsid w:val="00C803BE"/>
    <w:rsid w:val="00C80E0D"/>
    <w:rsid w:val="00C816F9"/>
    <w:rsid w:val="00C81734"/>
    <w:rsid w:val="00C823A0"/>
    <w:rsid w:val="00C836AE"/>
    <w:rsid w:val="00C842DA"/>
    <w:rsid w:val="00C84576"/>
    <w:rsid w:val="00C847DF"/>
    <w:rsid w:val="00C91B0B"/>
    <w:rsid w:val="00C91D74"/>
    <w:rsid w:val="00C92A24"/>
    <w:rsid w:val="00C946E2"/>
    <w:rsid w:val="00C953B1"/>
    <w:rsid w:val="00C957AD"/>
    <w:rsid w:val="00CA0B13"/>
    <w:rsid w:val="00CA1EFB"/>
    <w:rsid w:val="00CA2780"/>
    <w:rsid w:val="00CA4731"/>
    <w:rsid w:val="00CA510C"/>
    <w:rsid w:val="00CB2ABA"/>
    <w:rsid w:val="00CB43EA"/>
    <w:rsid w:val="00CB7284"/>
    <w:rsid w:val="00CB7AF5"/>
    <w:rsid w:val="00CC2D24"/>
    <w:rsid w:val="00CC6CE5"/>
    <w:rsid w:val="00CD1117"/>
    <w:rsid w:val="00CD1390"/>
    <w:rsid w:val="00CD778F"/>
    <w:rsid w:val="00CE09FB"/>
    <w:rsid w:val="00CE3D2C"/>
    <w:rsid w:val="00CE4720"/>
    <w:rsid w:val="00CF073D"/>
    <w:rsid w:val="00CF31D4"/>
    <w:rsid w:val="00CF38DC"/>
    <w:rsid w:val="00CF6241"/>
    <w:rsid w:val="00CF6FB8"/>
    <w:rsid w:val="00CF7067"/>
    <w:rsid w:val="00D00C3D"/>
    <w:rsid w:val="00D018C4"/>
    <w:rsid w:val="00D01D93"/>
    <w:rsid w:val="00D05BC9"/>
    <w:rsid w:val="00D068BC"/>
    <w:rsid w:val="00D146CC"/>
    <w:rsid w:val="00D14B75"/>
    <w:rsid w:val="00D15D5D"/>
    <w:rsid w:val="00D3089F"/>
    <w:rsid w:val="00D30ABB"/>
    <w:rsid w:val="00D310A2"/>
    <w:rsid w:val="00D310B6"/>
    <w:rsid w:val="00D31F7D"/>
    <w:rsid w:val="00D330E1"/>
    <w:rsid w:val="00D35CEE"/>
    <w:rsid w:val="00D3689D"/>
    <w:rsid w:val="00D42BB2"/>
    <w:rsid w:val="00D47A7F"/>
    <w:rsid w:val="00D50D0A"/>
    <w:rsid w:val="00D539AA"/>
    <w:rsid w:val="00D53E60"/>
    <w:rsid w:val="00D56DE5"/>
    <w:rsid w:val="00D56F1E"/>
    <w:rsid w:val="00D57AFA"/>
    <w:rsid w:val="00D61CF8"/>
    <w:rsid w:val="00D64490"/>
    <w:rsid w:val="00D65FB6"/>
    <w:rsid w:val="00D6779B"/>
    <w:rsid w:val="00D72DA0"/>
    <w:rsid w:val="00D7306B"/>
    <w:rsid w:val="00D74A96"/>
    <w:rsid w:val="00D7780B"/>
    <w:rsid w:val="00D77901"/>
    <w:rsid w:val="00D81DDB"/>
    <w:rsid w:val="00D9277A"/>
    <w:rsid w:val="00D927BA"/>
    <w:rsid w:val="00D93050"/>
    <w:rsid w:val="00D96C9B"/>
    <w:rsid w:val="00DA166E"/>
    <w:rsid w:val="00DA1707"/>
    <w:rsid w:val="00DA30FC"/>
    <w:rsid w:val="00DA5403"/>
    <w:rsid w:val="00DB0895"/>
    <w:rsid w:val="00DB08B2"/>
    <w:rsid w:val="00DB0991"/>
    <w:rsid w:val="00DB2A81"/>
    <w:rsid w:val="00DB2E9D"/>
    <w:rsid w:val="00DB3956"/>
    <w:rsid w:val="00DB62D2"/>
    <w:rsid w:val="00DB7F73"/>
    <w:rsid w:val="00DC100F"/>
    <w:rsid w:val="00DC2802"/>
    <w:rsid w:val="00DC333D"/>
    <w:rsid w:val="00DC433E"/>
    <w:rsid w:val="00DC7E0E"/>
    <w:rsid w:val="00DD2274"/>
    <w:rsid w:val="00DD3626"/>
    <w:rsid w:val="00DD5576"/>
    <w:rsid w:val="00DD5666"/>
    <w:rsid w:val="00DD784C"/>
    <w:rsid w:val="00DD7F54"/>
    <w:rsid w:val="00DE60E0"/>
    <w:rsid w:val="00DF02A7"/>
    <w:rsid w:val="00DF1A80"/>
    <w:rsid w:val="00DF1F50"/>
    <w:rsid w:val="00E01B80"/>
    <w:rsid w:val="00E03315"/>
    <w:rsid w:val="00E10DF6"/>
    <w:rsid w:val="00E17E1F"/>
    <w:rsid w:val="00E20E2E"/>
    <w:rsid w:val="00E23265"/>
    <w:rsid w:val="00E23F4A"/>
    <w:rsid w:val="00E2436C"/>
    <w:rsid w:val="00E24FB9"/>
    <w:rsid w:val="00E26588"/>
    <w:rsid w:val="00E3719D"/>
    <w:rsid w:val="00E374DA"/>
    <w:rsid w:val="00E42078"/>
    <w:rsid w:val="00E44C8F"/>
    <w:rsid w:val="00E512CA"/>
    <w:rsid w:val="00E564EF"/>
    <w:rsid w:val="00E60F1C"/>
    <w:rsid w:val="00E631C0"/>
    <w:rsid w:val="00E66836"/>
    <w:rsid w:val="00E719FC"/>
    <w:rsid w:val="00E74A4F"/>
    <w:rsid w:val="00E8672C"/>
    <w:rsid w:val="00E87489"/>
    <w:rsid w:val="00E9013C"/>
    <w:rsid w:val="00E909BE"/>
    <w:rsid w:val="00E91690"/>
    <w:rsid w:val="00E91F4F"/>
    <w:rsid w:val="00E93FFD"/>
    <w:rsid w:val="00E96589"/>
    <w:rsid w:val="00E9684F"/>
    <w:rsid w:val="00EB1095"/>
    <w:rsid w:val="00EB1793"/>
    <w:rsid w:val="00EB412B"/>
    <w:rsid w:val="00EB593D"/>
    <w:rsid w:val="00EC1DC9"/>
    <w:rsid w:val="00EC7D07"/>
    <w:rsid w:val="00ED4580"/>
    <w:rsid w:val="00ED7349"/>
    <w:rsid w:val="00EE0F98"/>
    <w:rsid w:val="00EE1079"/>
    <w:rsid w:val="00EE28F0"/>
    <w:rsid w:val="00EE4E50"/>
    <w:rsid w:val="00EE7E3A"/>
    <w:rsid w:val="00EF0313"/>
    <w:rsid w:val="00EF3DBB"/>
    <w:rsid w:val="00EF7A09"/>
    <w:rsid w:val="00F01DBA"/>
    <w:rsid w:val="00F11121"/>
    <w:rsid w:val="00F16545"/>
    <w:rsid w:val="00F17696"/>
    <w:rsid w:val="00F30EC6"/>
    <w:rsid w:val="00F31BC1"/>
    <w:rsid w:val="00F32267"/>
    <w:rsid w:val="00F333D3"/>
    <w:rsid w:val="00F34DBE"/>
    <w:rsid w:val="00F35621"/>
    <w:rsid w:val="00F406C0"/>
    <w:rsid w:val="00F4259A"/>
    <w:rsid w:val="00F46230"/>
    <w:rsid w:val="00F46300"/>
    <w:rsid w:val="00F47027"/>
    <w:rsid w:val="00F47533"/>
    <w:rsid w:val="00F47D5E"/>
    <w:rsid w:val="00F47EC8"/>
    <w:rsid w:val="00F50BA4"/>
    <w:rsid w:val="00F51485"/>
    <w:rsid w:val="00F56B1F"/>
    <w:rsid w:val="00F61975"/>
    <w:rsid w:val="00F62250"/>
    <w:rsid w:val="00F65407"/>
    <w:rsid w:val="00F667CE"/>
    <w:rsid w:val="00F67824"/>
    <w:rsid w:val="00F70BE9"/>
    <w:rsid w:val="00F748D5"/>
    <w:rsid w:val="00F76621"/>
    <w:rsid w:val="00F7734C"/>
    <w:rsid w:val="00F81718"/>
    <w:rsid w:val="00F82CCB"/>
    <w:rsid w:val="00F865B4"/>
    <w:rsid w:val="00F904CA"/>
    <w:rsid w:val="00F94C15"/>
    <w:rsid w:val="00FA0802"/>
    <w:rsid w:val="00FA1E4E"/>
    <w:rsid w:val="00FA3718"/>
    <w:rsid w:val="00FA4F88"/>
    <w:rsid w:val="00FA57F1"/>
    <w:rsid w:val="00FA79A5"/>
    <w:rsid w:val="00FA7A46"/>
    <w:rsid w:val="00FB2CE1"/>
    <w:rsid w:val="00FB55AC"/>
    <w:rsid w:val="00FB6390"/>
    <w:rsid w:val="00FC502D"/>
    <w:rsid w:val="00FC7EFA"/>
    <w:rsid w:val="00FD009A"/>
    <w:rsid w:val="00FD06D0"/>
    <w:rsid w:val="00FD2619"/>
    <w:rsid w:val="00FD508E"/>
    <w:rsid w:val="00FD7D6D"/>
    <w:rsid w:val="00FE1173"/>
    <w:rsid w:val="00FE11D5"/>
    <w:rsid w:val="00FE2273"/>
    <w:rsid w:val="00FE42EB"/>
    <w:rsid w:val="00FE4ACA"/>
    <w:rsid w:val="00FF2714"/>
    <w:rsid w:val="00FF3B92"/>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E0C8F"/>
  <w15:docId w15:val="{A1456D9C-8EDE-4137-8159-A638C301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FE6"/>
    <w:pPr>
      <w:ind w:left="720"/>
      <w:contextualSpacing/>
    </w:pPr>
  </w:style>
  <w:style w:type="paragraph" w:styleId="Header">
    <w:name w:val="header"/>
    <w:basedOn w:val="Normal"/>
    <w:link w:val="HeaderChar"/>
    <w:uiPriority w:val="99"/>
    <w:unhideWhenUsed/>
    <w:rsid w:val="00B50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9D8"/>
  </w:style>
  <w:style w:type="paragraph" w:styleId="Footer">
    <w:name w:val="footer"/>
    <w:basedOn w:val="Normal"/>
    <w:link w:val="FooterChar"/>
    <w:uiPriority w:val="99"/>
    <w:unhideWhenUsed/>
    <w:rsid w:val="00B50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9D8"/>
  </w:style>
  <w:style w:type="paragraph" w:customStyle="1" w:styleId="Default">
    <w:name w:val="Default"/>
    <w:rsid w:val="00B509D8"/>
    <w:pPr>
      <w:autoSpaceDE w:val="0"/>
      <w:autoSpaceDN w:val="0"/>
      <w:adjustRightInd w:val="0"/>
      <w:spacing w:after="0" w:line="240" w:lineRule="auto"/>
    </w:pPr>
    <w:rPr>
      <w:rFonts w:ascii="Georgia" w:hAnsi="Georgia" w:cs="Georgia"/>
      <w:color w:val="000000"/>
      <w:sz w:val="24"/>
      <w:szCs w:val="24"/>
      <w:lang w:val="en-GB"/>
    </w:rPr>
  </w:style>
  <w:style w:type="table" w:styleId="TableGrid">
    <w:name w:val="Table Grid"/>
    <w:basedOn w:val="TableNormal"/>
    <w:uiPriority w:val="39"/>
    <w:rsid w:val="00DD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45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580"/>
    <w:rPr>
      <w:rFonts w:ascii="Segoe UI" w:hAnsi="Segoe UI" w:cs="Segoe UI"/>
      <w:sz w:val="18"/>
      <w:szCs w:val="18"/>
    </w:rPr>
  </w:style>
  <w:style w:type="character" w:styleId="CommentReference">
    <w:name w:val="annotation reference"/>
    <w:basedOn w:val="DefaultParagraphFont"/>
    <w:uiPriority w:val="99"/>
    <w:semiHidden/>
    <w:unhideWhenUsed/>
    <w:rsid w:val="00833625"/>
    <w:rPr>
      <w:sz w:val="16"/>
      <w:szCs w:val="16"/>
    </w:rPr>
  </w:style>
  <w:style w:type="paragraph" w:styleId="CommentText">
    <w:name w:val="annotation text"/>
    <w:basedOn w:val="Normal"/>
    <w:link w:val="CommentTextChar"/>
    <w:uiPriority w:val="99"/>
    <w:semiHidden/>
    <w:unhideWhenUsed/>
    <w:rsid w:val="00833625"/>
    <w:pPr>
      <w:spacing w:line="240" w:lineRule="auto"/>
    </w:pPr>
    <w:rPr>
      <w:sz w:val="20"/>
      <w:szCs w:val="20"/>
    </w:rPr>
  </w:style>
  <w:style w:type="character" w:customStyle="1" w:styleId="CommentTextChar">
    <w:name w:val="Comment Text Char"/>
    <w:basedOn w:val="DefaultParagraphFont"/>
    <w:link w:val="CommentText"/>
    <w:uiPriority w:val="99"/>
    <w:semiHidden/>
    <w:rsid w:val="00833625"/>
    <w:rPr>
      <w:sz w:val="20"/>
      <w:szCs w:val="20"/>
    </w:rPr>
  </w:style>
  <w:style w:type="paragraph" w:styleId="CommentSubject">
    <w:name w:val="annotation subject"/>
    <w:basedOn w:val="CommentText"/>
    <w:next w:val="CommentText"/>
    <w:link w:val="CommentSubjectChar"/>
    <w:uiPriority w:val="99"/>
    <w:semiHidden/>
    <w:unhideWhenUsed/>
    <w:rsid w:val="00833625"/>
    <w:rPr>
      <w:b/>
      <w:bCs/>
    </w:rPr>
  </w:style>
  <w:style w:type="character" w:customStyle="1" w:styleId="CommentSubjectChar">
    <w:name w:val="Comment Subject Char"/>
    <w:basedOn w:val="CommentTextChar"/>
    <w:link w:val="CommentSubject"/>
    <w:uiPriority w:val="99"/>
    <w:semiHidden/>
    <w:rsid w:val="008336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882255">
      <w:bodyDiv w:val="1"/>
      <w:marLeft w:val="0"/>
      <w:marRight w:val="0"/>
      <w:marTop w:val="0"/>
      <w:marBottom w:val="0"/>
      <w:divBdr>
        <w:top w:val="none" w:sz="0" w:space="0" w:color="auto"/>
        <w:left w:val="none" w:sz="0" w:space="0" w:color="auto"/>
        <w:bottom w:val="none" w:sz="0" w:space="0" w:color="auto"/>
        <w:right w:val="none" w:sz="0" w:space="0" w:color="auto"/>
      </w:divBdr>
    </w:div>
    <w:div w:id="725497190">
      <w:bodyDiv w:val="1"/>
      <w:marLeft w:val="0"/>
      <w:marRight w:val="0"/>
      <w:marTop w:val="0"/>
      <w:marBottom w:val="0"/>
      <w:divBdr>
        <w:top w:val="none" w:sz="0" w:space="0" w:color="auto"/>
        <w:left w:val="none" w:sz="0" w:space="0" w:color="auto"/>
        <w:bottom w:val="none" w:sz="0" w:space="0" w:color="auto"/>
        <w:right w:val="none" w:sz="0" w:space="0" w:color="auto"/>
      </w:divBdr>
    </w:div>
    <w:div w:id="815297777">
      <w:bodyDiv w:val="1"/>
      <w:marLeft w:val="0"/>
      <w:marRight w:val="0"/>
      <w:marTop w:val="0"/>
      <w:marBottom w:val="0"/>
      <w:divBdr>
        <w:top w:val="none" w:sz="0" w:space="0" w:color="auto"/>
        <w:left w:val="none" w:sz="0" w:space="0" w:color="auto"/>
        <w:bottom w:val="none" w:sz="0" w:space="0" w:color="auto"/>
        <w:right w:val="none" w:sz="0" w:space="0" w:color="auto"/>
      </w:divBdr>
    </w:div>
    <w:div w:id="1136026217">
      <w:bodyDiv w:val="1"/>
      <w:marLeft w:val="0"/>
      <w:marRight w:val="0"/>
      <w:marTop w:val="0"/>
      <w:marBottom w:val="0"/>
      <w:divBdr>
        <w:top w:val="none" w:sz="0" w:space="0" w:color="auto"/>
        <w:left w:val="none" w:sz="0" w:space="0" w:color="auto"/>
        <w:bottom w:val="none" w:sz="0" w:space="0" w:color="auto"/>
        <w:right w:val="none" w:sz="0" w:space="0" w:color="auto"/>
      </w:divBdr>
      <w:divsChild>
        <w:div w:id="1476406673">
          <w:marLeft w:val="0"/>
          <w:marRight w:val="0"/>
          <w:marTop w:val="0"/>
          <w:marBottom w:val="0"/>
          <w:divBdr>
            <w:top w:val="none" w:sz="0" w:space="0" w:color="auto"/>
            <w:left w:val="none" w:sz="0" w:space="0" w:color="auto"/>
            <w:bottom w:val="none" w:sz="0" w:space="0" w:color="auto"/>
            <w:right w:val="none" w:sz="0" w:space="0" w:color="auto"/>
          </w:divBdr>
        </w:div>
        <w:div w:id="582033582">
          <w:marLeft w:val="0"/>
          <w:marRight w:val="0"/>
          <w:marTop w:val="0"/>
          <w:marBottom w:val="0"/>
          <w:divBdr>
            <w:top w:val="none" w:sz="0" w:space="0" w:color="auto"/>
            <w:left w:val="none" w:sz="0" w:space="0" w:color="auto"/>
            <w:bottom w:val="none" w:sz="0" w:space="0" w:color="auto"/>
            <w:right w:val="none" w:sz="0" w:space="0" w:color="auto"/>
          </w:divBdr>
        </w:div>
      </w:divsChild>
    </w:div>
    <w:div w:id="1425615607">
      <w:bodyDiv w:val="1"/>
      <w:marLeft w:val="0"/>
      <w:marRight w:val="0"/>
      <w:marTop w:val="0"/>
      <w:marBottom w:val="0"/>
      <w:divBdr>
        <w:top w:val="none" w:sz="0" w:space="0" w:color="auto"/>
        <w:left w:val="none" w:sz="0" w:space="0" w:color="auto"/>
        <w:bottom w:val="none" w:sz="0" w:space="0" w:color="auto"/>
        <w:right w:val="none" w:sz="0" w:space="0" w:color="auto"/>
      </w:divBdr>
    </w:div>
    <w:div w:id="212087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D20762990461498F37FCD3C73B68C1" ma:contentTypeVersion="11" ma:contentTypeDescription="Create a new document." ma:contentTypeScope="" ma:versionID="deb47e43e7ad544c90b7fc117041682d">
  <xsd:schema xmlns:xsd="http://www.w3.org/2001/XMLSchema" xmlns:xs="http://www.w3.org/2001/XMLSchema" xmlns:p="http://schemas.microsoft.com/office/2006/metadata/properties" xmlns:ns2="b2fed20d-6d7c-43a5-b735-18cc48f8c23f" xmlns:ns3="eb9c4194-2da0-4f07-83f3-9bf658a4fa7a" targetNamespace="http://schemas.microsoft.com/office/2006/metadata/properties" ma:root="true" ma:fieldsID="1e8a9db2db8ba0b1ee0843180211bb83" ns2:_="" ns3:_="">
    <xsd:import namespace="b2fed20d-6d7c-43a5-b735-18cc48f8c23f"/>
    <xsd:import namespace="eb9c4194-2da0-4f07-83f3-9bf658a4fa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ed20d-6d7c-43a5-b735-18cc48f8c2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9c4194-2da0-4f07-83f3-9bf658a4fa7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923990a-f4f0-4449-b478-ff09509fa558}" ma:internalName="TaxCatchAll" ma:showField="CatchAllData" ma:web="eb9c4194-2da0-4f07-83f3-9bf658a4fa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B051-51EF-4180-8633-01CE3C83B969}">
  <ds:schemaRefs>
    <ds:schemaRef ds:uri="http://schemas.microsoft.com/sharepoint/v3/contenttype/forms"/>
  </ds:schemaRefs>
</ds:datastoreItem>
</file>

<file path=customXml/itemProps2.xml><?xml version="1.0" encoding="utf-8"?>
<ds:datastoreItem xmlns:ds="http://schemas.openxmlformats.org/officeDocument/2006/customXml" ds:itemID="{73924F2E-2B00-4E92-9EB2-CF6800864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ed20d-6d7c-43a5-b735-18cc48f8c23f"/>
    <ds:schemaRef ds:uri="eb9c4194-2da0-4f07-83f3-9bf658a4f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BC3637-84CA-4BEB-A9D6-B0321C2C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dc:creator>
  <cp:keywords/>
  <dc:description/>
  <cp:lastModifiedBy>Rashid, Imtiaz</cp:lastModifiedBy>
  <cp:revision>40</cp:revision>
  <dcterms:created xsi:type="dcterms:W3CDTF">2023-02-06T07:49:00Z</dcterms:created>
  <dcterms:modified xsi:type="dcterms:W3CDTF">2023-02-06T10:29:00Z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2022-03-23T06:11:11Z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61f8b9fb-c490-426e-b830-5a643d594ad8</vt:lpwstr>
  </property>
  <property fmtid="{D5CDD505-2E9C-101B-9397-08002B2CF9AE}" pid="8" name="MSIP_Label_ea60d57e-af5b-4752-ac57-3e4f28ca11dc_ContentBits">
    <vt:lpwstr>0</vt:lpwstr>
  </property>
  <property fmtid="{D5CDD505-2E9C-101B-9397-08002B2CF9AE}" pid="9" name="GrammarlyDocumentId">
    <vt:lpwstr>9cbf2778f41225207cf54847843ebefd5a436dad02a620dad441c31271adeb2b</vt:lpwstr>
  </property>
</Properties>
</file>