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2251" w14:textId="77777777" w:rsidR="00FA5276" w:rsidRPr="00083B51" w:rsidRDefault="00FA5276">
      <w:pPr>
        <w:rPr>
          <w:sz w:val="2"/>
          <w:szCs w:val="2"/>
        </w:rPr>
      </w:pPr>
    </w:p>
    <w:p w14:paraId="7B741E0F" w14:textId="2CE85210" w:rsidR="008357E5" w:rsidRPr="00A72D66" w:rsidRDefault="008357E5">
      <w:pPr>
        <w:rPr>
          <w:rFonts w:ascii="Verdana" w:hAnsi="Verdana"/>
          <w:color w:val="FF0000"/>
          <w:sz w:val="18"/>
          <w:szCs w:val="18"/>
        </w:rPr>
      </w:pPr>
      <w:r>
        <w:tab/>
      </w:r>
      <w:r>
        <w:tab/>
      </w:r>
      <w:r>
        <w:tab/>
      </w:r>
      <w:r>
        <w:tab/>
      </w:r>
      <w:r>
        <w:tab/>
      </w:r>
      <w:r>
        <w:tab/>
      </w:r>
      <w:r>
        <w:tab/>
      </w:r>
      <w:r>
        <w:tab/>
      </w:r>
      <w:r>
        <w:tab/>
      </w:r>
      <w:r>
        <w:tab/>
      </w:r>
      <w:r w:rsidR="00C74FF5">
        <w:t xml:space="preserve">   </w:t>
      </w:r>
      <w:bookmarkStart w:id="0" w:name="_Hlk90277074"/>
      <w:r w:rsidRPr="00A72D66">
        <w:rPr>
          <w:rFonts w:ascii="Verdana" w:hAnsi="Verdana"/>
          <w:color w:val="FF0000"/>
          <w:sz w:val="18"/>
          <w:szCs w:val="18"/>
        </w:rPr>
        <w:t>Doc. Ref: Mat</w:t>
      </w:r>
      <w:r w:rsidR="004D2FDB" w:rsidRPr="00A72D66">
        <w:rPr>
          <w:rFonts w:ascii="Verdana" w:hAnsi="Verdana"/>
          <w:color w:val="FF0000"/>
          <w:sz w:val="18"/>
          <w:szCs w:val="18"/>
        </w:rPr>
        <w:t>. Annex</w:t>
      </w:r>
      <w:r w:rsidRPr="00A72D66">
        <w:rPr>
          <w:rFonts w:ascii="Verdana" w:hAnsi="Verdana"/>
          <w:color w:val="FF0000"/>
          <w:sz w:val="18"/>
          <w:szCs w:val="18"/>
        </w:rPr>
        <w:t xml:space="preserve"> 131</w:t>
      </w:r>
      <w:r w:rsidR="00ED6B0C">
        <w:rPr>
          <w:rFonts w:ascii="Verdana" w:hAnsi="Verdana"/>
          <w:color w:val="FF0000"/>
          <w:sz w:val="18"/>
          <w:szCs w:val="18"/>
        </w:rPr>
        <w:t>2</w:t>
      </w:r>
      <w:r w:rsidRPr="00A72D66">
        <w:rPr>
          <w:rFonts w:ascii="Verdana" w:hAnsi="Verdana"/>
          <w:color w:val="FF0000"/>
          <w:sz w:val="18"/>
          <w:szCs w:val="18"/>
        </w:rPr>
        <w:t>0</w:t>
      </w:r>
      <w:bookmarkEnd w:id="0"/>
    </w:p>
    <w:tbl>
      <w:tblPr>
        <w:tblW w:w="5327" w:type="pct"/>
        <w:tblInd w:w="-153" w:type="dxa"/>
        <w:tblLook w:val="04A0" w:firstRow="1" w:lastRow="0" w:firstColumn="1" w:lastColumn="0" w:noHBand="0" w:noVBand="1"/>
      </w:tblPr>
      <w:tblGrid>
        <w:gridCol w:w="2813"/>
        <w:gridCol w:w="4857"/>
        <w:gridCol w:w="135"/>
        <w:gridCol w:w="2427"/>
        <w:gridCol w:w="340"/>
      </w:tblGrid>
      <w:tr w:rsidR="00B509D8" w:rsidRPr="000C4EDE" w14:paraId="1F325F4D" w14:textId="77777777" w:rsidTr="00314FDD">
        <w:trPr>
          <w:trHeight w:val="618"/>
        </w:trPr>
        <w:tc>
          <w:tcPr>
            <w:tcW w:w="5000" w:type="pct"/>
            <w:gridSpan w:val="5"/>
            <w:shd w:val="clear" w:color="auto" w:fill="auto"/>
            <w:noWrap/>
            <w:vAlign w:val="bottom"/>
            <w:hideMark/>
          </w:tcPr>
          <w:p w14:paraId="58C1D5C2" w14:textId="63ACC0D8" w:rsidR="00B509D8" w:rsidRPr="00B307EE" w:rsidRDefault="00B509D8" w:rsidP="00881746">
            <w:pPr>
              <w:spacing w:after="0" w:line="240" w:lineRule="auto"/>
              <w:jc w:val="both"/>
              <w:rPr>
                <w:rFonts w:ascii="Verdana" w:eastAsia="Times New Roman" w:hAnsi="Verdana" w:cs="Arial"/>
                <w:color w:val="000000"/>
              </w:rPr>
            </w:pPr>
            <w:r w:rsidRPr="00A93B0A">
              <w:rPr>
                <w:rFonts w:ascii="Verdana" w:eastAsia="Times New Roman" w:hAnsi="Verdana" w:cs="Arial"/>
                <w:b/>
                <w:color w:val="000000"/>
              </w:rPr>
              <w:t>Client name</w:t>
            </w:r>
            <w:r w:rsidR="00F47533" w:rsidRPr="00B307EE">
              <w:rPr>
                <w:rFonts w:ascii="Verdana" w:eastAsia="Times New Roman" w:hAnsi="Verdana" w:cs="Arial"/>
                <w:color w:val="000000"/>
              </w:rPr>
              <w:t xml:space="preserve">              </w:t>
            </w:r>
            <w:r w:rsidR="00F47533" w:rsidRPr="00880259">
              <w:rPr>
                <w:rFonts w:ascii="Verdana" w:eastAsia="Times New Roman" w:hAnsi="Verdana" w:cs="Arial"/>
                <w:color w:val="000000"/>
              </w:rPr>
              <w:t xml:space="preserve">  </w:t>
            </w:r>
            <w:r w:rsidR="00314FDD">
              <w:rPr>
                <w:rFonts w:ascii="Verdana" w:eastAsia="Times New Roman" w:hAnsi="Verdana" w:cs="Arial"/>
                <w:color w:val="000000"/>
              </w:rPr>
              <w:t xml:space="preserve"> </w:t>
            </w:r>
            <w:r w:rsidRPr="00314FDD">
              <w:rPr>
                <w:rFonts w:ascii="Verdana" w:eastAsia="Times New Roman" w:hAnsi="Verdana" w:cs="Arial"/>
                <w:b/>
                <w:bCs/>
                <w:color w:val="000000"/>
              </w:rPr>
              <w:t>:</w:t>
            </w:r>
            <w:r w:rsidRPr="00880259">
              <w:rPr>
                <w:rFonts w:ascii="Verdana" w:eastAsia="Times New Roman" w:hAnsi="Verdana" w:cs="Arial"/>
                <w:color w:val="000000"/>
              </w:rPr>
              <w:t xml:space="preserve"> </w:t>
            </w:r>
            <w:r w:rsidR="00F32A26" w:rsidRPr="00F32A26">
              <w:rPr>
                <w:rFonts w:ascii="Verdana" w:eastAsia="Times New Roman" w:hAnsi="Verdana" w:cs="Arial"/>
                <w:color w:val="000000"/>
                <w:lang w:val="en-IN"/>
              </w:rPr>
              <w:t xml:space="preserve">Cosmopolitan Industries </w:t>
            </w:r>
            <w:proofErr w:type="spellStart"/>
            <w:r w:rsidR="00F32A26" w:rsidRPr="00F32A26">
              <w:rPr>
                <w:rFonts w:ascii="Verdana" w:eastAsia="Times New Roman" w:hAnsi="Verdana" w:cs="Arial"/>
                <w:color w:val="000000"/>
                <w:lang w:val="en-IN"/>
              </w:rPr>
              <w:t>Pvt.</w:t>
            </w:r>
            <w:proofErr w:type="spellEnd"/>
            <w:r w:rsidR="00F32A26" w:rsidRPr="00F32A26">
              <w:rPr>
                <w:rFonts w:ascii="Verdana" w:eastAsia="Times New Roman" w:hAnsi="Verdana" w:cs="Arial"/>
                <w:color w:val="000000"/>
                <w:lang w:val="en-IN"/>
              </w:rPr>
              <w:t xml:space="preserve"> Ltd. (CIPL)</w:t>
            </w:r>
          </w:p>
        </w:tc>
      </w:tr>
      <w:tr w:rsidR="00B509D8" w:rsidRPr="000C4EDE" w14:paraId="1DDA543C" w14:textId="77777777" w:rsidTr="00314FDD">
        <w:trPr>
          <w:trHeight w:val="323"/>
        </w:trPr>
        <w:tc>
          <w:tcPr>
            <w:tcW w:w="5000" w:type="pct"/>
            <w:gridSpan w:val="5"/>
            <w:shd w:val="clear" w:color="auto" w:fill="auto"/>
            <w:noWrap/>
            <w:vAlign w:val="bottom"/>
            <w:hideMark/>
          </w:tcPr>
          <w:p w14:paraId="6A7ECF0F" w14:textId="5580F13F" w:rsidR="00B509D8" w:rsidRPr="000C4EDE" w:rsidRDefault="00B509D8" w:rsidP="00A93B0A">
            <w:pPr>
              <w:spacing w:after="0" w:line="240" w:lineRule="auto"/>
              <w:jc w:val="both"/>
              <w:rPr>
                <w:rFonts w:ascii="Verdana" w:eastAsia="Times New Roman" w:hAnsi="Verdana" w:cs="Arial"/>
                <w:color w:val="000000"/>
              </w:rPr>
            </w:pPr>
            <w:r w:rsidRPr="000C4EDE">
              <w:rPr>
                <w:rFonts w:ascii="Verdana" w:eastAsia="Times New Roman" w:hAnsi="Verdana" w:cs="Arial"/>
                <w:b/>
                <w:bCs/>
                <w:color w:val="000000"/>
              </w:rPr>
              <w:t>Accounting period</w:t>
            </w:r>
            <w:r w:rsidR="00F47533" w:rsidRPr="000C4EDE">
              <w:rPr>
                <w:rFonts w:ascii="Verdana" w:eastAsia="Times New Roman" w:hAnsi="Verdana" w:cs="Arial"/>
                <w:b/>
                <w:bCs/>
                <w:color w:val="000000"/>
              </w:rPr>
              <w:t xml:space="preserve">    </w:t>
            </w:r>
            <w:r w:rsidR="00396C0C">
              <w:rPr>
                <w:rFonts w:ascii="Verdana" w:eastAsia="Times New Roman" w:hAnsi="Verdana" w:cs="Arial"/>
                <w:b/>
                <w:bCs/>
                <w:color w:val="000000"/>
              </w:rPr>
              <w:t xml:space="preserve"> </w:t>
            </w:r>
            <w:r w:rsidR="00F47533" w:rsidRPr="000C4EDE">
              <w:rPr>
                <w:rFonts w:ascii="Verdana" w:eastAsia="Times New Roman" w:hAnsi="Verdana" w:cs="Arial"/>
                <w:b/>
                <w:bCs/>
                <w:color w:val="000000"/>
              </w:rPr>
              <w:t xml:space="preserve"> </w:t>
            </w:r>
            <w:r w:rsidR="00314FDD">
              <w:rPr>
                <w:rFonts w:ascii="Verdana" w:eastAsia="Times New Roman" w:hAnsi="Verdana" w:cs="Arial"/>
                <w:b/>
                <w:bCs/>
                <w:color w:val="000000"/>
              </w:rPr>
              <w:t xml:space="preserve"> </w:t>
            </w:r>
            <w:r w:rsidRPr="000C4EDE">
              <w:rPr>
                <w:rFonts w:ascii="Verdana" w:eastAsia="Times New Roman" w:hAnsi="Verdana" w:cs="Arial"/>
                <w:b/>
                <w:bCs/>
                <w:color w:val="000000"/>
              </w:rPr>
              <w:t xml:space="preserve">: </w:t>
            </w:r>
            <w:r w:rsidR="00F32A26" w:rsidRPr="00F32A26">
              <w:rPr>
                <w:rFonts w:ascii="Verdana" w:eastAsia="Times New Roman" w:hAnsi="Verdana" w:cs="Arial"/>
                <w:color w:val="000000"/>
                <w:lang w:val="en-IN"/>
              </w:rPr>
              <w:t>01 July 2021 to 30 June 2022</w:t>
            </w:r>
          </w:p>
        </w:tc>
      </w:tr>
      <w:tr w:rsidR="00B509D8" w:rsidRPr="000C4EDE" w14:paraId="2DA1BE8A" w14:textId="77777777" w:rsidTr="00314FDD">
        <w:trPr>
          <w:trHeight w:val="323"/>
        </w:trPr>
        <w:tc>
          <w:tcPr>
            <w:tcW w:w="3627" w:type="pct"/>
            <w:gridSpan w:val="2"/>
            <w:shd w:val="clear" w:color="auto" w:fill="auto"/>
            <w:noWrap/>
            <w:vAlign w:val="bottom"/>
            <w:hideMark/>
          </w:tcPr>
          <w:p w14:paraId="5BDE36D8" w14:textId="77777777" w:rsidR="00B509D8" w:rsidRPr="000C4EDE" w:rsidRDefault="00B509D8" w:rsidP="00881746">
            <w:pPr>
              <w:spacing w:after="0" w:line="240" w:lineRule="auto"/>
              <w:jc w:val="both"/>
              <w:rPr>
                <w:rFonts w:ascii="Verdana" w:eastAsia="Times New Roman" w:hAnsi="Verdana" w:cs="Arial"/>
              </w:rPr>
            </w:pPr>
          </w:p>
        </w:tc>
        <w:tc>
          <w:tcPr>
            <w:tcW w:w="1373" w:type="pct"/>
            <w:gridSpan w:val="3"/>
            <w:shd w:val="clear" w:color="auto" w:fill="auto"/>
            <w:vAlign w:val="bottom"/>
          </w:tcPr>
          <w:p w14:paraId="76EAED62" w14:textId="77777777" w:rsidR="00B509D8" w:rsidRPr="000C4EDE" w:rsidRDefault="00B509D8" w:rsidP="00881746">
            <w:pPr>
              <w:spacing w:after="0" w:line="240" w:lineRule="auto"/>
              <w:jc w:val="both"/>
              <w:rPr>
                <w:rFonts w:ascii="Verdana" w:eastAsia="Times New Roman" w:hAnsi="Verdana" w:cs="Arial"/>
              </w:rPr>
            </w:pPr>
          </w:p>
        </w:tc>
      </w:tr>
      <w:tr w:rsidR="00B509D8" w:rsidRPr="000C4EDE" w14:paraId="44797FCE" w14:textId="77777777" w:rsidTr="00314FDD">
        <w:trPr>
          <w:gridAfter w:val="1"/>
          <w:wAfter w:w="160" w:type="pct"/>
          <w:trHeight w:val="323"/>
        </w:trPr>
        <w:tc>
          <w:tcPr>
            <w:tcW w:w="1330" w:type="pct"/>
            <w:shd w:val="clear" w:color="auto" w:fill="auto"/>
            <w:noWrap/>
            <w:vAlign w:val="bottom"/>
            <w:hideMark/>
          </w:tcPr>
          <w:p w14:paraId="31178A60" w14:textId="77777777" w:rsidR="00B509D8" w:rsidRPr="000C4EDE" w:rsidRDefault="00B509D8" w:rsidP="00881746">
            <w:pPr>
              <w:spacing w:after="0" w:line="240" w:lineRule="auto"/>
              <w:jc w:val="both"/>
              <w:rPr>
                <w:rFonts w:ascii="Verdana" w:eastAsia="Times New Roman" w:hAnsi="Verdana" w:cs="Arial"/>
              </w:rPr>
            </w:pPr>
            <w:r w:rsidRPr="000C4EDE">
              <w:rPr>
                <w:rFonts w:ascii="Verdana" w:eastAsia="Times New Roman" w:hAnsi="Verdana" w:cs="Arial"/>
                <w:b/>
                <w:bCs/>
                <w:color w:val="000000"/>
              </w:rPr>
              <w:t>Prepared by</w:t>
            </w:r>
          </w:p>
        </w:tc>
        <w:tc>
          <w:tcPr>
            <w:tcW w:w="2361" w:type="pct"/>
            <w:gridSpan w:val="2"/>
            <w:shd w:val="clear" w:color="auto" w:fill="auto"/>
            <w:vAlign w:val="bottom"/>
          </w:tcPr>
          <w:p w14:paraId="6F246155" w14:textId="4EA81E91" w:rsidR="00B509D8" w:rsidRPr="00396C0C" w:rsidRDefault="00B509D8" w:rsidP="0068625B">
            <w:pPr>
              <w:spacing w:after="0" w:line="240" w:lineRule="auto"/>
              <w:ind w:left="-70" w:firstLine="70"/>
              <w:jc w:val="both"/>
              <w:rPr>
                <w:rFonts w:ascii="Verdana" w:eastAsia="Times New Roman" w:hAnsi="Verdana" w:cs="Arial"/>
              </w:rPr>
            </w:pPr>
            <w:r w:rsidRPr="00396C0C">
              <w:rPr>
                <w:rFonts w:ascii="Verdana" w:eastAsia="Times New Roman" w:hAnsi="Verdana" w:cs="Arial"/>
                <w:b/>
                <w:bCs/>
                <w:color w:val="000000"/>
              </w:rPr>
              <w:t>:</w:t>
            </w:r>
            <w:r w:rsidRPr="00396C0C">
              <w:rPr>
                <w:rFonts w:ascii="Verdana" w:eastAsia="Times New Roman" w:hAnsi="Verdana" w:cs="Arial"/>
                <w:bCs/>
                <w:color w:val="000000"/>
              </w:rPr>
              <w:t xml:space="preserve"> </w:t>
            </w:r>
            <w:r w:rsidR="005F7C18">
              <w:rPr>
                <w:rFonts w:ascii="Verdana" w:eastAsia="Times New Roman" w:hAnsi="Verdana" w:cs="Arial"/>
                <w:bCs/>
                <w:color w:val="000000"/>
              </w:rPr>
              <w:t xml:space="preserve">Salauddin Morshed </w:t>
            </w:r>
          </w:p>
        </w:tc>
        <w:tc>
          <w:tcPr>
            <w:tcW w:w="1148" w:type="pct"/>
            <w:shd w:val="clear" w:color="auto" w:fill="auto"/>
            <w:vAlign w:val="bottom"/>
          </w:tcPr>
          <w:p w14:paraId="61B6FFA0" w14:textId="06362B4A" w:rsidR="00B509D8" w:rsidRPr="000C4EDE" w:rsidRDefault="00B509D8" w:rsidP="00A93B0A">
            <w:pPr>
              <w:spacing w:after="0" w:line="240" w:lineRule="auto"/>
              <w:jc w:val="both"/>
              <w:rPr>
                <w:rFonts w:ascii="Verdana" w:eastAsia="Times New Roman" w:hAnsi="Verdana" w:cs="Arial"/>
              </w:rPr>
            </w:pPr>
            <w:r w:rsidRPr="000C4EDE">
              <w:rPr>
                <w:rFonts w:ascii="Verdana" w:eastAsia="Times New Roman" w:hAnsi="Verdana" w:cs="Arial"/>
                <w:b/>
                <w:bCs/>
                <w:color w:val="000000"/>
              </w:rPr>
              <w:t xml:space="preserve">Date: </w:t>
            </w:r>
            <w:r w:rsidR="00722B6A">
              <w:rPr>
                <w:rFonts w:ascii="Verdana" w:eastAsia="Times New Roman" w:hAnsi="Verdana" w:cs="Arial"/>
                <w:bCs/>
                <w:color w:val="000000"/>
              </w:rPr>
              <w:t>08</w:t>
            </w:r>
            <w:r w:rsidR="008F51E1" w:rsidRPr="00396C0C">
              <w:rPr>
                <w:rFonts w:ascii="Verdana" w:eastAsia="Times New Roman" w:hAnsi="Verdana" w:cs="Arial"/>
                <w:bCs/>
                <w:color w:val="000000"/>
              </w:rPr>
              <w:t xml:space="preserve"> </w:t>
            </w:r>
            <w:r w:rsidR="00722B6A">
              <w:rPr>
                <w:rFonts w:ascii="Verdana" w:eastAsia="Times New Roman" w:hAnsi="Verdana" w:cs="Arial"/>
                <w:bCs/>
                <w:color w:val="000000"/>
              </w:rPr>
              <w:t>J</w:t>
            </w:r>
            <w:r w:rsidR="00F32A26">
              <w:rPr>
                <w:rFonts w:ascii="Verdana" w:eastAsia="Times New Roman" w:hAnsi="Verdana" w:cs="Arial"/>
                <w:bCs/>
                <w:color w:val="000000"/>
              </w:rPr>
              <w:t>uly</w:t>
            </w:r>
            <w:r w:rsidR="00B77AB7">
              <w:rPr>
                <w:rFonts w:ascii="Verdana" w:eastAsia="Times New Roman" w:hAnsi="Verdana" w:cs="Arial"/>
                <w:bCs/>
                <w:color w:val="000000"/>
              </w:rPr>
              <w:t xml:space="preserve"> 202</w:t>
            </w:r>
            <w:r w:rsidR="00722B6A">
              <w:rPr>
                <w:rFonts w:ascii="Verdana" w:eastAsia="Times New Roman" w:hAnsi="Verdana" w:cs="Arial"/>
                <w:bCs/>
                <w:color w:val="000000"/>
              </w:rPr>
              <w:t>2</w:t>
            </w:r>
          </w:p>
        </w:tc>
      </w:tr>
      <w:tr w:rsidR="00B509D8" w:rsidRPr="000C4EDE" w14:paraId="76DF14E3" w14:textId="77777777" w:rsidTr="00314FDD">
        <w:trPr>
          <w:gridAfter w:val="1"/>
          <w:wAfter w:w="160" w:type="pct"/>
          <w:trHeight w:val="282"/>
        </w:trPr>
        <w:tc>
          <w:tcPr>
            <w:tcW w:w="1330" w:type="pct"/>
            <w:shd w:val="clear" w:color="auto" w:fill="auto"/>
            <w:noWrap/>
            <w:vAlign w:val="bottom"/>
            <w:hideMark/>
          </w:tcPr>
          <w:p w14:paraId="0428E425" w14:textId="77777777" w:rsidR="00B509D8" w:rsidRPr="000C4EDE" w:rsidRDefault="00B509D8" w:rsidP="00881746">
            <w:pPr>
              <w:spacing w:after="0" w:line="240" w:lineRule="auto"/>
              <w:jc w:val="both"/>
              <w:rPr>
                <w:rFonts w:ascii="Verdana" w:eastAsia="Times New Roman" w:hAnsi="Verdana" w:cs="Arial"/>
              </w:rPr>
            </w:pPr>
            <w:r w:rsidRPr="000C4EDE">
              <w:rPr>
                <w:rFonts w:ascii="Verdana" w:eastAsia="Times New Roman" w:hAnsi="Verdana" w:cs="Arial"/>
                <w:b/>
                <w:bCs/>
                <w:color w:val="000000"/>
              </w:rPr>
              <w:t>Reviewed by</w:t>
            </w:r>
          </w:p>
        </w:tc>
        <w:tc>
          <w:tcPr>
            <w:tcW w:w="2361" w:type="pct"/>
            <w:gridSpan w:val="2"/>
            <w:shd w:val="clear" w:color="auto" w:fill="auto"/>
            <w:vAlign w:val="bottom"/>
          </w:tcPr>
          <w:p w14:paraId="2FC51EE8" w14:textId="7C535499" w:rsidR="00B509D8" w:rsidRPr="000C4EDE" w:rsidRDefault="006A2A56" w:rsidP="00B77AB7">
            <w:pPr>
              <w:spacing w:after="0" w:line="240" w:lineRule="auto"/>
              <w:jc w:val="both"/>
              <w:rPr>
                <w:rFonts w:ascii="Verdana" w:eastAsia="Times New Roman" w:hAnsi="Verdana" w:cs="Arial"/>
              </w:rPr>
            </w:pPr>
            <w:r w:rsidRPr="000C4EDE">
              <w:rPr>
                <w:rFonts w:ascii="Verdana" w:eastAsia="Times New Roman" w:hAnsi="Verdana" w:cs="Arial"/>
                <w:b/>
                <w:bCs/>
                <w:color w:val="000000"/>
              </w:rPr>
              <w:t>:</w:t>
            </w:r>
            <w:r w:rsidR="00EE0F98" w:rsidRPr="000C4EDE">
              <w:rPr>
                <w:rFonts w:ascii="Verdana" w:eastAsia="Times New Roman" w:hAnsi="Verdana" w:cs="Arial"/>
                <w:b/>
                <w:bCs/>
                <w:color w:val="000000"/>
              </w:rPr>
              <w:t xml:space="preserve"> </w:t>
            </w:r>
            <w:r w:rsidR="00CA7AD6" w:rsidRPr="00CA7AD6">
              <w:rPr>
                <w:rFonts w:ascii="Verdana" w:eastAsia="Times New Roman" w:hAnsi="Verdana" w:cs="Arial"/>
                <w:color w:val="000000"/>
              </w:rPr>
              <w:t>Faruk Uddin Ahammed</w:t>
            </w:r>
          </w:p>
        </w:tc>
        <w:tc>
          <w:tcPr>
            <w:tcW w:w="1148" w:type="pct"/>
            <w:shd w:val="clear" w:color="auto" w:fill="auto"/>
            <w:vAlign w:val="bottom"/>
          </w:tcPr>
          <w:p w14:paraId="383F7E5A" w14:textId="71ADD28E" w:rsidR="00B509D8" w:rsidRPr="000C4EDE" w:rsidRDefault="00B509D8" w:rsidP="00881746">
            <w:pPr>
              <w:spacing w:after="0" w:line="240" w:lineRule="auto"/>
              <w:jc w:val="both"/>
              <w:rPr>
                <w:rFonts w:ascii="Verdana" w:eastAsia="Times New Roman" w:hAnsi="Verdana" w:cs="Arial"/>
              </w:rPr>
            </w:pPr>
            <w:r w:rsidRPr="000C4EDE">
              <w:rPr>
                <w:rFonts w:ascii="Verdana" w:eastAsia="Times New Roman" w:hAnsi="Verdana" w:cs="Arial"/>
                <w:b/>
                <w:bCs/>
                <w:color w:val="000000"/>
              </w:rPr>
              <w:t xml:space="preserve">Date: </w:t>
            </w:r>
            <w:r w:rsidR="00722B6A" w:rsidRPr="00722B6A">
              <w:rPr>
                <w:rFonts w:ascii="Verdana" w:eastAsia="Times New Roman" w:hAnsi="Verdana" w:cs="Arial"/>
                <w:color w:val="000000"/>
              </w:rPr>
              <w:t>10 J</w:t>
            </w:r>
            <w:r w:rsidR="00F32A26">
              <w:rPr>
                <w:rFonts w:ascii="Verdana" w:eastAsia="Times New Roman" w:hAnsi="Verdana" w:cs="Arial"/>
                <w:color w:val="000000"/>
              </w:rPr>
              <w:t>uly</w:t>
            </w:r>
            <w:r w:rsidR="00722B6A">
              <w:rPr>
                <w:rFonts w:ascii="Verdana" w:eastAsia="Times New Roman" w:hAnsi="Verdana" w:cs="Arial"/>
                <w:b/>
                <w:bCs/>
                <w:color w:val="000000"/>
              </w:rPr>
              <w:t xml:space="preserve"> </w:t>
            </w:r>
            <w:r w:rsidR="00B77AB7">
              <w:rPr>
                <w:rFonts w:ascii="Verdana" w:eastAsia="Times New Roman" w:hAnsi="Verdana" w:cs="Arial"/>
                <w:bCs/>
                <w:color w:val="000000"/>
              </w:rPr>
              <w:t>202</w:t>
            </w:r>
            <w:r w:rsidR="00722B6A">
              <w:rPr>
                <w:rFonts w:ascii="Verdana" w:eastAsia="Times New Roman" w:hAnsi="Verdana" w:cs="Arial"/>
                <w:bCs/>
                <w:color w:val="000000"/>
              </w:rPr>
              <w:t>2</w:t>
            </w:r>
          </w:p>
        </w:tc>
      </w:tr>
      <w:tr w:rsidR="00B509D8" w:rsidRPr="000C4EDE" w14:paraId="7A7FE9E8" w14:textId="77777777" w:rsidTr="00314FDD">
        <w:trPr>
          <w:trHeight w:val="160"/>
        </w:trPr>
        <w:tc>
          <w:tcPr>
            <w:tcW w:w="1330" w:type="pct"/>
            <w:shd w:val="clear" w:color="auto" w:fill="auto"/>
            <w:noWrap/>
            <w:vAlign w:val="bottom"/>
          </w:tcPr>
          <w:p w14:paraId="673152A1" w14:textId="77777777" w:rsidR="00B509D8" w:rsidRPr="000C4EDE" w:rsidRDefault="00B509D8" w:rsidP="00881746">
            <w:pPr>
              <w:spacing w:after="0"/>
              <w:jc w:val="both"/>
              <w:rPr>
                <w:rFonts w:ascii="Verdana" w:hAnsi="Verdana" w:cs="Arial"/>
                <w:b/>
              </w:rPr>
            </w:pPr>
          </w:p>
        </w:tc>
        <w:tc>
          <w:tcPr>
            <w:tcW w:w="2296" w:type="pct"/>
            <w:shd w:val="clear" w:color="auto" w:fill="auto"/>
            <w:vAlign w:val="bottom"/>
          </w:tcPr>
          <w:p w14:paraId="6A3BE897" w14:textId="77777777" w:rsidR="00B509D8" w:rsidRPr="000C4EDE" w:rsidRDefault="00B509D8" w:rsidP="00881746">
            <w:pPr>
              <w:spacing w:after="0" w:line="240" w:lineRule="auto"/>
              <w:jc w:val="both"/>
              <w:rPr>
                <w:rFonts w:ascii="Verdana" w:eastAsia="Times New Roman" w:hAnsi="Verdana" w:cs="Arial"/>
                <w:b/>
                <w:bCs/>
                <w:color w:val="000000"/>
              </w:rPr>
            </w:pPr>
          </w:p>
        </w:tc>
        <w:tc>
          <w:tcPr>
            <w:tcW w:w="1373" w:type="pct"/>
            <w:gridSpan w:val="3"/>
            <w:shd w:val="clear" w:color="auto" w:fill="auto"/>
            <w:vAlign w:val="bottom"/>
          </w:tcPr>
          <w:p w14:paraId="1756DD99" w14:textId="77777777" w:rsidR="00B509D8" w:rsidRPr="000C4EDE" w:rsidRDefault="00B509D8" w:rsidP="00881746">
            <w:pPr>
              <w:spacing w:after="0" w:line="240" w:lineRule="auto"/>
              <w:jc w:val="both"/>
              <w:rPr>
                <w:rFonts w:ascii="Verdana" w:eastAsia="Times New Roman" w:hAnsi="Verdana" w:cs="Arial"/>
                <w:b/>
                <w:bCs/>
                <w:color w:val="000000"/>
              </w:rPr>
            </w:pPr>
          </w:p>
        </w:tc>
      </w:tr>
    </w:tbl>
    <w:tbl>
      <w:tblPr>
        <w:tblStyle w:val="TableGrid"/>
        <w:tblW w:w="971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2250"/>
      </w:tblGrid>
      <w:tr w:rsidR="008B6A95" w:rsidRPr="007D5357" w14:paraId="7BEE74BD" w14:textId="77777777" w:rsidTr="002147C3">
        <w:trPr>
          <w:trHeight w:val="63"/>
        </w:trPr>
        <w:tc>
          <w:tcPr>
            <w:tcW w:w="7465" w:type="dxa"/>
          </w:tcPr>
          <w:p w14:paraId="20529F4A" w14:textId="17B24CE8" w:rsidR="008B6A95" w:rsidRPr="00454FF3" w:rsidRDefault="008B6A95" w:rsidP="002147C3">
            <w:pPr>
              <w:ind w:left="-200" w:firstLine="200"/>
              <w:jc w:val="both"/>
              <w:rPr>
                <w:rFonts w:ascii="Verdana" w:hAnsi="Verdana" w:cs="Open Sans"/>
              </w:rPr>
            </w:pPr>
            <w:r w:rsidRPr="00454FF3">
              <w:rPr>
                <w:rFonts w:ascii="Verdana" w:hAnsi="Verdana" w:cs="Open Sans"/>
                <w:b/>
              </w:rPr>
              <w:t xml:space="preserve">Subject: </w:t>
            </w:r>
            <w:r w:rsidRPr="00454FF3">
              <w:rPr>
                <w:rFonts w:ascii="Verdana" w:hAnsi="Verdana" w:cs="Open Sans"/>
              </w:rPr>
              <w:t>Materiality Memo</w:t>
            </w:r>
            <w:r w:rsidR="003C5B63">
              <w:rPr>
                <w:rFonts w:ascii="Verdana" w:hAnsi="Verdana" w:cs="Open Sans"/>
              </w:rPr>
              <w:t xml:space="preserve"> for Statutory Audit.  </w:t>
            </w:r>
          </w:p>
        </w:tc>
        <w:tc>
          <w:tcPr>
            <w:tcW w:w="2250" w:type="dxa"/>
          </w:tcPr>
          <w:p w14:paraId="1CB58CFD" w14:textId="77777777" w:rsidR="008B6A95" w:rsidRPr="009C490F" w:rsidRDefault="008B6A95" w:rsidP="002147C3">
            <w:pPr>
              <w:jc w:val="both"/>
              <w:rPr>
                <w:rFonts w:ascii="Verdana" w:hAnsi="Verdana" w:cs="Open Sans"/>
                <w:b/>
                <w:sz w:val="18"/>
                <w:szCs w:val="18"/>
              </w:rPr>
            </w:pPr>
          </w:p>
        </w:tc>
      </w:tr>
    </w:tbl>
    <w:p w14:paraId="060164A9" w14:textId="77777777" w:rsidR="008B6A95" w:rsidRPr="00314FDD" w:rsidRDefault="008B6A95" w:rsidP="008B6A95">
      <w:pPr>
        <w:rPr>
          <w:rFonts w:ascii="Verdana" w:hAnsi="Verdana"/>
          <w:sz w:val="4"/>
          <w:szCs w:val="4"/>
        </w:rPr>
      </w:pPr>
    </w:p>
    <w:p w14:paraId="7E7F4D61" w14:textId="3E2327B3" w:rsidR="008B6A95" w:rsidRPr="00994728" w:rsidRDefault="008B6A95" w:rsidP="008B6A95">
      <w:pPr>
        <w:jc w:val="both"/>
        <w:rPr>
          <w:rFonts w:ascii="Verdana" w:hAnsi="Verdana"/>
        </w:rPr>
      </w:pPr>
      <w:r w:rsidRPr="00994728">
        <w:rPr>
          <w:rFonts w:ascii="Verdana" w:hAnsi="Verdana"/>
          <w:b/>
        </w:rPr>
        <w:t>Objective:</w:t>
      </w:r>
      <w:r w:rsidRPr="00994728">
        <w:rPr>
          <w:rFonts w:ascii="Verdana" w:hAnsi="Verdana"/>
        </w:rPr>
        <w:t xml:space="preserve"> </w:t>
      </w:r>
      <w:r w:rsidR="00F32A26" w:rsidRPr="00F32A26">
        <w:rPr>
          <w:rFonts w:ascii="Verdana" w:hAnsi="Verdana"/>
          <w:lang w:val="en-IN"/>
        </w:rPr>
        <w:t>The objective of this memo is to document rationale for materiality benchmark and the percentage to be applied in determining Audit Materiality.</w:t>
      </w:r>
    </w:p>
    <w:p w14:paraId="6227B2C8" w14:textId="77777777" w:rsidR="00F32A26" w:rsidRPr="00F32A26" w:rsidRDefault="008B6A95" w:rsidP="00F32A26">
      <w:pPr>
        <w:jc w:val="both"/>
        <w:rPr>
          <w:rFonts w:ascii="Verdana" w:hAnsi="Verdana"/>
          <w:lang w:val="en-IN"/>
        </w:rPr>
      </w:pPr>
      <w:r w:rsidRPr="00994728">
        <w:rPr>
          <w:rFonts w:ascii="Verdana" w:hAnsi="Verdana"/>
          <w:b/>
        </w:rPr>
        <w:t xml:space="preserve">Background: </w:t>
      </w:r>
      <w:r w:rsidR="00F32A26" w:rsidRPr="00F32A26">
        <w:rPr>
          <w:rFonts w:ascii="Verdana" w:hAnsi="Verdana"/>
          <w:lang w:val="en-IN"/>
        </w:rPr>
        <w:t>Cosmopolitan Industries Private Limited ("the Company” or "CIPL") was incorporated in Bangladesh on 26 June 2005 as a private limited company under the Companies Act, 1994. Cosmopolitan Industries Private Limited, the Company is engaged in the production and export of readymade garments. The Company is in operation with two units namely Washing and Garments unit. The Washing unit commenced its commercial operations from 31 August 2006 for automatic washing of all kinds of garments and the Garments unit commenced its commercial operation from 1 November 2006 for the production of ready-made garments. The Company is a subsidiary of Epic Designers Ltd., Hong Kong.</w:t>
      </w:r>
    </w:p>
    <w:p w14:paraId="504107F3" w14:textId="78E98190" w:rsidR="001E43D6" w:rsidRDefault="008B6A95" w:rsidP="00F32A26">
      <w:pPr>
        <w:jc w:val="both"/>
        <w:rPr>
          <w:rFonts w:ascii="Verdana" w:hAnsi="Verdana"/>
        </w:rPr>
      </w:pPr>
      <w:r>
        <w:rPr>
          <w:rFonts w:ascii="Verdana" w:hAnsi="Verdana"/>
          <w:b/>
        </w:rPr>
        <w:t xml:space="preserve">Users and their primary focus: </w:t>
      </w:r>
      <w:r w:rsidR="004C4ED7">
        <w:rPr>
          <w:rFonts w:ascii="Verdana" w:hAnsi="Verdana"/>
        </w:rPr>
        <w:t>U</w:t>
      </w:r>
      <w:r w:rsidR="005572C9">
        <w:rPr>
          <w:rFonts w:ascii="Verdana" w:hAnsi="Verdana"/>
        </w:rPr>
        <w:t xml:space="preserve">sers of financial statements include </w:t>
      </w:r>
      <w:r w:rsidR="00CF3CDE">
        <w:rPr>
          <w:rFonts w:ascii="Verdana" w:hAnsi="Verdana"/>
        </w:rPr>
        <w:t xml:space="preserve">foreign </w:t>
      </w:r>
      <w:r w:rsidR="005572C9">
        <w:rPr>
          <w:rFonts w:ascii="Verdana" w:hAnsi="Verdana"/>
        </w:rPr>
        <w:t xml:space="preserve">shareholders, </w:t>
      </w:r>
      <w:r w:rsidR="00CF3CDE">
        <w:rPr>
          <w:rFonts w:ascii="Verdana" w:hAnsi="Verdana"/>
        </w:rPr>
        <w:t xml:space="preserve">local </w:t>
      </w:r>
      <w:r w:rsidR="005572C9">
        <w:rPr>
          <w:rFonts w:ascii="Verdana" w:hAnsi="Verdana"/>
        </w:rPr>
        <w:t xml:space="preserve">management, creditors, and </w:t>
      </w:r>
      <w:r w:rsidR="00385E24">
        <w:rPr>
          <w:rFonts w:ascii="Verdana" w:hAnsi="Verdana"/>
        </w:rPr>
        <w:t>tax authority</w:t>
      </w:r>
      <w:r w:rsidR="005572C9">
        <w:rPr>
          <w:rFonts w:ascii="Verdana" w:hAnsi="Verdana"/>
        </w:rPr>
        <w:t>.</w:t>
      </w:r>
      <w:r w:rsidR="009115C0">
        <w:rPr>
          <w:rFonts w:ascii="Verdana" w:hAnsi="Verdana"/>
        </w:rPr>
        <w:t xml:space="preserve"> </w:t>
      </w:r>
      <w:r w:rsidR="001E43D6" w:rsidRPr="00DD2218">
        <w:rPr>
          <w:rFonts w:ascii="Verdana" w:hAnsi="Verdana"/>
        </w:rPr>
        <w:t>Based on our discussion with management and our knowledge of the business major areas of focus of the us</w:t>
      </w:r>
      <w:r w:rsidR="001E43D6">
        <w:rPr>
          <w:rFonts w:ascii="Verdana" w:hAnsi="Verdana"/>
        </w:rPr>
        <w:t xml:space="preserve">ers of the financial statements </w:t>
      </w:r>
      <w:r w:rsidR="00274614">
        <w:rPr>
          <w:rFonts w:ascii="Verdana" w:hAnsi="Verdana"/>
        </w:rPr>
        <w:t>identified as</w:t>
      </w:r>
      <w:r w:rsidR="001E43D6">
        <w:rPr>
          <w:rFonts w:ascii="Verdana" w:hAnsi="Verdana"/>
        </w:rPr>
        <w:t xml:space="preserve"> revenue, profit before tax, profit after tax</w:t>
      </w:r>
      <w:r w:rsidR="009115C0">
        <w:rPr>
          <w:rFonts w:ascii="Verdana" w:hAnsi="Verdana"/>
        </w:rPr>
        <w:t>/net income</w:t>
      </w:r>
      <w:r w:rsidR="001E43D6">
        <w:rPr>
          <w:rFonts w:ascii="Verdana" w:hAnsi="Verdana"/>
        </w:rPr>
        <w:t xml:space="preserve">, cash flow from </w:t>
      </w:r>
      <w:r w:rsidR="009115C0">
        <w:rPr>
          <w:rFonts w:ascii="Verdana" w:hAnsi="Verdana"/>
        </w:rPr>
        <w:t>operations</w:t>
      </w:r>
      <w:r w:rsidR="001E43D6">
        <w:rPr>
          <w:rFonts w:ascii="Verdana" w:hAnsi="Verdana"/>
        </w:rPr>
        <w:t xml:space="preserve">, and total assets. </w:t>
      </w:r>
    </w:p>
    <w:p w14:paraId="6B1EC9DE" w14:textId="3673AE70" w:rsidR="001E43D6" w:rsidRPr="001E43D6" w:rsidRDefault="001E43D6" w:rsidP="001E43D6">
      <w:pPr>
        <w:pStyle w:val="ListParagraph"/>
        <w:numPr>
          <w:ilvl w:val="0"/>
          <w:numId w:val="31"/>
        </w:numPr>
        <w:jc w:val="both"/>
        <w:rPr>
          <w:rFonts w:ascii="Verdana" w:hAnsi="Verdana"/>
        </w:rPr>
      </w:pPr>
      <w:r w:rsidRPr="001E43D6">
        <w:rPr>
          <w:rFonts w:ascii="Verdana" w:hAnsi="Verdana"/>
          <w:b/>
        </w:rPr>
        <w:t>Shareholders</w:t>
      </w:r>
      <w:r w:rsidRPr="001E43D6">
        <w:rPr>
          <w:rFonts w:ascii="Verdana" w:hAnsi="Verdana"/>
        </w:rPr>
        <w:t xml:space="preserve">: </w:t>
      </w:r>
      <w:r w:rsidR="004D7BA1">
        <w:rPr>
          <w:rFonts w:ascii="Verdana" w:hAnsi="Verdana"/>
        </w:rPr>
        <w:t>Generally p</w:t>
      </w:r>
      <w:r w:rsidRPr="001E43D6">
        <w:rPr>
          <w:rFonts w:ascii="Verdana" w:hAnsi="Verdana"/>
        </w:rPr>
        <w:t xml:space="preserve">rimary focus of shareholders is on </w:t>
      </w:r>
      <w:r w:rsidR="00840907">
        <w:rPr>
          <w:rFonts w:ascii="Verdana" w:hAnsi="Verdana"/>
        </w:rPr>
        <w:t xml:space="preserve">total assets, </w:t>
      </w:r>
      <w:r w:rsidRPr="001E43D6">
        <w:rPr>
          <w:rFonts w:ascii="Verdana" w:hAnsi="Verdana"/>
        </w:rPr>
        <w:t>revenue</w:t>
      </w:r>
      <w:r w:rsidR="00840907">
        <w:rPr>
          <w:rFonts w:ascii="Verdana" w:hAnsi="Verdana"/>
        </w:rPr>
        <w:t>,</w:t>
      </w:r>
      <w:r w:rsidRPr="001E43D6">
        <w:rPr>
          <w:rFonts w:ascii="Verdana" w:hAnsi="Verdana"/>
        </w:rPr>
        <w:t xml:space="preserve"> and net income. </w:t>
      </w:r>
    </w:p>
    <w:p w14:paraId="17332EA8" w14:textId="7135BF7E" w:rsidR="001E43D6" w:rsidRPr="001E43D6" w:rsidRDefault="001E43D6" w:rsidP="001E43D6">
      <w:pPr>
        <w:pStyle w:val="ListParagraph"/>
        <w:numPr>
          <w:ilvl w:val="0"/>
          <w:numId w:val="31"/>
        </w:numPr>
        <w:jc w:val="both"/>
        <w:rPr>
          <w:rFonts w:ascii="Verdana" w:hAnsi="Verdana"/>
        </w:rPr>
      </w:pPr>
      <w:r w:rsidRPr="001E43D6">
        <w:rPr>
          <w:rFonts w:ascii="Verdana" w:hAnsi="Verdana"/>
          <w:b/>
        </w:rPr>
        <w:t>Management</w:t>
      </w:r>
      <w:r w:rsidRPr="001E43D6">
        <w:rPr>
          <w:rFonts w:ascii="Verdana" w:hAnsi="Verdana"/>
        </w:rPr>
        <w:t>:</w:t>
      </w:r>
      <w:r w:rsidR="00083B51">
        <w:rPr>
          <w:rFonts w:ascii="Verdana" w:hAnsi="Verdana"/>
        </w:rPr>
        <w:t xml:space="preserve"> </w:t>
      </w:r>
      <w:r w:rsidRPr="001E43D6">
        <w:rPr>
          <w:rFonts w:ascii="Verdana" w:hAnsi="Verdana"/>
        </w:rPr>
        <w:t xml:space="preserve">Primary focus of </w:t>
      </w:r>
      <w:r w:rsidR="00B819CA">
        <w:rPr>
          <w:rFonts w:ascii="Verdana" w:hAnsi="Verdana"/>
        </w:rPr>
        <w:t xml:space="preserve">the </w:t>
      </w:r>
      <w:r w:rsidRPr="001E43D6">
        <w:rPr>
          <w:rFonts w:ascii="Verdana" w:hAnsi="Verdana"/>
        </w:rPr>
        <w:t>management is on revenue</w:t>
      </w:r>
      <w:r w:rsidR="004D7BA1">
        <w:rPr>
          <w:rFonts w:ascii="Verdana" w:hAnsi="Verdana"/>
        </w:rPr>
        <w:t xml:space="preserve"> and operating income</w:t>
      </w:r>
      <w:r w:rsidRPr="001E43D6">
        <w:rPr>
          <w:rFonts w:ascii="Verdana" w:hAnsi="Verdana"/>
        </w:rPr>
        <w:t>.</w:t>
      </w:r>
      <w:r w:rsidR="004D7BA1">
        <w:rPr>
          <w:rFonts w:ascii="Verdana" w:hAnsi="Verdana"/>
        </w:rPr>
        <w:t xml:space="preserve"> </w:t>
      </w:r>
    </w:p>
    <w:p w14:paraId="219190D1" w14:textId="1D5F6AF1" w:rsidR="001E43D6" w:rsidRPr="001E43D6" w:rsidRDefault="001E43D6" w:rsidP="001E43D6">
      <w:pPr>
        <w:pStyle w:val="ListParagraph"/>
        <w:numPr>
          <w:ilvl w:val="0"/>
          <w:numId w:val="31"/>
        </w:numPr>
        <w:jc w:val="both"/>
        <w:rPr>
          <w:rFonts w:ascii="Verdana" w:hAnsi="Verdana"/>
        </w:rPr>
      </w:pPr>
      <w:r w:rsidRPr="001E43D6">
        <w:rPr>
          <w:rFonts w:ascii="Verdana" w:hAnsi="Verdana"/>
          <w:b/>
        </w:rPr>
        <w:t>Creditors</w:t>
      </w:r>
      <w:r w:rsidRPr="001E43D6">
        <w:rPr>
          <w:rFonts w:ascii="Verdana" w:hAnsi="Verdana"/>
        </w:rPr>
        <w:t xml:space="preserve">: </w:t>
      </w:r>
      <w:r w:rsidR="004D7BA1">
        <w:rPr>
          <w:rFonts w:ascii="Verdana" w:hAnsi="Verdana"/>
        </w:rPr>
        <w:t>Generally p</w:t>
      </w:r>
      <w:r w:rsidRPr="001E43D6">
        <w:rPr>
          <w:rFonts w:ascii="Verdana" w:hAnsi="Verdana"/>
        </w:rPr>
        <w:t xml:space="preserve">rimary focus of creditors is on cash flow from operating activities. </w:t>
      </w:r>
    </w:p>
    <w:p w14:paraId="480A5A8F" w14:textId="132104D5" w:rsidR="001E43D6" w:rsidRPr="00274614" w:rsidRDefault="001E43D6" w:rsidP="008B6A95">
      <w:pPr>
        <w:pStyle w:val="ListParagraph"/>
        <w:numPr>
          <w:ilvl w:val="0"/>
          <w:numId w:val="31"/>
        </w:numPr>
        <w:jc w:val="both"/>
        <w:rPr>
          <w:rFonts w:ascii="Verdana" w:hAnsi="Verdana"/>
        </w:rPr>
      </w:pPr>
      <w:r w:rsidRPr="001E43D6">
        <w:rPr>
          <w:rFonts w:ascii="Verdana" w:hAnsi="Verdana"/>
          <w:b/>
        </w:rPr>
        <w:t>Tax authority</w:t>
      </w:r>
      <w:r w:rsidRPr="001E43D6">
        <w:rPr>
          <w:rFonts w:ascii="Verdana" w:hAnsi="Verdana"/>
        </w:rPr>
        <w:t xml:space="preserve">: </w:t>
      </w:r>
      <w:r w:rsidR="004D7BA1">
        <w:rPr>
          <w:rFonts w:ascii="Verdana" w:hAnsi="Verdana"/>
        </w:rPr>
        <w:t>Generally p</w:t>
      </w:r>
      <w:r w:rsidRPr="001E43D6">
        <w:rPr>
          <w:rFonts w:ascii="Verdana" w:hAnsi="Verdana"/>
        </w:rPr>
        <w:t xml:space="preserve">rimary focus of tax authority is on profit before tax. </w:t>
      </w:r>
    </w:p>
    <w:p w14:paraId="4BC814CB" w14:textId="0C62962B" w:rsidR="008B6A95" w:rsidRPr="00994728" w:rsidRDefault="009115C0" w:rsidP="008B6A95">
      <w:pPr>
        <w:jc w:val="both"/>
        <w:rPr>
          <w:rFonts w:ascii="Verdana" w:hAnsi="Verdana"/>
        </w:rPr>
      </w:pPr>
      <w:r>
        <w:rPr>
          <w:rFonts w:ascii="Verdana" w:hAnsi="Verdana"/>
        </w:rPr>
        <w:t>Among the existing users, shareholders are the primary stakeholder</w:t>
      </w:r>
      <w:r w:rsidR="009908D9">
        <w:rPr>
          <w:rFonts w:ascii="Verdana" w:hAnsi="Verdana"/>
        </w:rPr>
        <w:t>s</w:t>
      </w:r>
      <w:r>
        <w:rPr>
          <w:rFonts w:ascii="Verdana" w:hAnsi="Verdana"/>
        </w:rPr>
        <w:t xml:space="preserve"> and user of financial statements of the company.</w:t>
      </w:r>
      <w:r w:rsidR="00BF4F15">
        <w:rPr>
          <w:rFonts w:ascii="Verdana" w:hAnsi="Verdana"/>
        </w:rPr>
        <w:t xml:space="preserve"> </w:t>
      </w:r>
      <w:r w:rsidR="008B6A95" w:rsidRPr="00994728">
        <w:rPr>
          <w:rFonts w:ascii="Verdana" w:hAnsi="Verdana"/>
        </w:rPr>
        <w:t xml:space="preserve">The </w:t>
      </w:r>
      <w:r w:rsidR="00775E91">
        <w:rPr>
          <w:rFonts w:ascii="Verdana" w:hAnsi="Verdana"/>
        </w:rPr>
        <w:t>s</w:t>
      </w:r>
      <w:r w:rsidR="008B6A95" w:rsidRPr="00994728">
        <w:rPr>
          <w:rFonts w:ascii="Verdana" w:hAnsi="Verdana"/>
        </w:rPr>
        <w:t xml:space="preserve">hareholders of the </w:t>
      </w:r>
      <w:r w:rsidR="00775E91">
        <w:rPr>
          <w:rFonts w:ascii="Verdana" w:hAnsi="Verdana"/>
        </w:rPr>
        <w:t>c</w:t>
      </w:r>
      <w:r w:rsidR="008B6A95" w:rsidRPr="00994728">
        <w:rPr>
          <w:rFonts w:ascii="Verdana" w:hAnsi="Verdana"/>
        </w:rPr>
        <w:t xml:space="preserve">ompany have interest </w:t>
      </w:r>
      <w:r>
        <w:rPr>
          <w:rFonts w:ascii="Verdana" w:hAnsi="Verdana"/>
        </w:rPr>
        <w:t>on</w:t>
      </w:r>
      <w:r w:rsidR="008B6A95" w:rsidRPr="00994728">
        <w:rPr>
          <w:rFonts w:ascii="Verdana" w:hAnsi="Verdana"/>
        </w:rPr>
        <w:t xml:space="preserve"> </w:t>
      </w:r>
      <w:r w:rsidR="00840907">
        <w:rPr>
          <w:rFonts w:ascii="Verdana" w:hAnsi="Verdana"/>
        </w:rPr>
        <w:t xml:space="preserve">total assets, </w:t>
      </w:r>
      <w:r w:rsidR="00567C3F" w:rsidRPr="00994728">
        <w:rPr>
          <w:rFonts w:ascii="Verdana" w:hAnsi="Verdana"/>
        </w:rPr>
        <w:t>revenue,</w:t>
      </w:r>
      <w:r w:rsidR="008B6A95" w:rsidRPr="00994728">
        <w:rPr>
          <w:rFonts w:ascii="Verdana" w:hAnsi="Verdana"/>
        </w:rPr>
        <w:t xml:space="preserve"> and </w:t>
      </w:r>
      <w:r w:rsidR="00775E91">
        <w:rPr>
          <w:rFonts w:ascii="Verdana" w:hAnsi="Verdana"/>
        </w:rPr>
        <w:t>net profit</w:t>
      </w:r>
      <w:r w:rsidR="008B6A95" w:rsidRPr="00994728">
        <w:rPr>
          <w:rFonts w:ascii="Verdana" w:hAnsi="Verdana"/>
        </w:rPr>
        <w:t>.</w:t>
      </w:r>
      <w:r w:rsidR="00775E91">
        <w:rPr>
          <w:rFonts w:ascii="Verdana" w:hAnsi="Verdana"/>
        </w:rPr>
        <w:t xml:space="preserve"> </w:t>
      </w:r>
    </w:p>
    <w:p w14:paraId="32071927" w14:textId="77777777" w:rsidR="00753C03" w:rsidRPr="00083B51" w:rsidRDefault="009115C0" w:rsidP="008B6A95">
      <w:pPr>
        <w:jc w:val="both"/>
        <w:rPr>
          <w:rFonts w:ascii="Verdana" w:hAnsi="Verdana"/>
        </w:rPr>
      </w:pPr>
      <w:r w:rsidRPr="00083B51">
        <w:rPr>
          <w:rFonts w:ascii="Verdana" w:hAnsi="Verdana"/>
          <w:b/>
          <w:bCs/>
        </w:rPr>
        <w:t>Benchmark for materiality:</w:t>
      </w:r>
      <w:r w:rsidRPr="00083B51">
        <w:rPr>
          <w:rFonts w:ascii="Verdana" w:hAnsi="Verdana"/>
        </w:rPr>
        <w:t xml:space="preserve"> </w:t>
      </w:r>
      <w:r w:rsidR="00775E91" w:rsidRPr="00083B51">
        <w:rPr>
          <w:rFonts w:ascii="Verdana" w:hAnsi="Verdana"/>
        </w:rPr>
        <w:t>According to</w:t>
      </w:r>
      <w:r w:rsidR="008B6A95" w:rsidRPr="00083B51">
        <w:rPr>
          <w:rFonts w:ascii="Verdana" w:hAnsi="Verdana"/>
        </w:rPr>
        <w:t xml:space="preserve"> Deloitte Audit Manual 13100, for the audit of non-listed entities</w:t>
      </w:r>
      <w:r w:rsidR="00B819CA" w:rsidRPr="00083B51">
        <w:rPr>
          <w:rFonts w:ascii="Verdana" w:hAnsi="Verdana"/>
        </w:rPr>
        <w:t>’</w:t>
      </w:r>
      <w:r w:rsidR="008B6A95" w:rsidRPr="00083B51">
        <w:rPr>
          <w:rFonts w:ascii="Verdana" w:hAnsi="Verdana"/>
        </w:rPr>
        <w:t xml:space="preserve"> </w:t>
      </w:r>
      <w:r w:rsidR="00062446" w:rsidRPr="00083B51">
        <w:rPr>
          <w:rFonts w:ascii="Verdana" w:hAnsi="Verdana"/>
        </w:rPr>
        <w:t>revenue,</w:t>
      </w:r>
      <w:r w:rsidR="0001232B" w:rsidRPr="00083B51">
        <w:rPr>
          <w:rFonts w:ascii="Verdana" w:hAnsi="Verdana"/>
        </w:rPr>
        <w:t xml:space="preserve"> </w:t>
      </w:r>
      <w:r w:rsidR="008B6A95" w:rsidRPr="00083B51">
        <w:rPr>
          <w:rFonts w:ascii="Verdana" w:hAnsi="Verdana"/>
        </w:rPr>
        <w:t>profit before tax for continuing operation, total assets, total equity</w:t>
      </w:r>
      <w:r w:rsidR="00775E91" w:rsidRPr="00083B51">
        <w:rPr>
          <w:rFonts w:ascii="Verdana" w:hAnsi="Verdana"/>
        </w:rPr>
        <w:t>/</w:t>
      </w:r>
      <w:r w:rsidR="008B6A95" w:rsidRPr="00083B51">
        <w:rPr>
          <w:rFonts w:ascii="Verdana" w:hAnsi="Verdana"/>
        </w:rPr>
        <w:t>net assets, expense</w:t>
      </w:r>
      <w:r w:rsidR="00775E91" w:rsidRPr="00083B51">
        <w:rPr>
          <w:rFonts w:ascii="Verdana" w:hAnsi="Verdana"/>
        </w:rPr>
        <w:t>,</w:t>
      </w:r>
      <w:r w:rsidR="008B6A95" w:rsidRPr="00083B51">
        <w:rPr>
          <w:rFonts w:ascii="Verdana" w:hAnsi="Verdana"/>
        </w:rPr>
        <w:t xml:space="preserve"> or cash flows from operations may be used as a benchmark.</w:t>
      </w:r>
      <w:r w:rsidR="00840907" w:rsidRPr="00083B51">
        <w:rPr>
          <w:rFonts w:ascii="Verdana" w:hAnsi="Verdana"/>
        </w:rPr>
        <w:t xml:space="preserve"> Key stakeholder has primary focus on </w:t>
      </w:r>
      <w:r w:rsidR="00933F1F" w:rsidRPr="00083B51">
        <w:rPr>
          <w:rFonts w:ascii="Verdana" w:hAnsi="Verdana"/>
        </w:rPr>
        <w:t xml:space="preserve">total assets, </w:t>
      </w:r>
      <w:r w:rsidR="00840907" w:rsidRPr="00083B51">
        <w:rPr>
          <w:rFonts w:ascii="Verdana" w:hAnsi="Verdana"/>
        </w:rPr>
        <w:t>revenue</w:t>
      </w:r>
      <w:r w:rsidR="00933F1F" w:rsidRPr="00083B51">
        <w:rPr>
          <w:rFonts w:ascii="Verdana" w:hAnsi="Verdana"/>
        </w:rPr>
        <w:t>,</w:t>
      </w:r>
      <w:r w:rsidR="00840907" w:rsidRPr="00083B51">
        <w:rPr>
          <w:rFonts w:ascii="Verdana" w:hAnsi="Verdana"/>
        </w:rPr>
        <w:t xml:space="preserve"> and net income. </w:t>
      </w:r>
    </w:p>
    <w:p w14:paraId="4586F793" w14:textId="4E63A5C7" w:rsidR="003C6576" w:rsidRPr="003C6576" w:rsidRDefault="00B27ECB" w:rsidP="003C6576">
      <w:pPr>
        <w:jc w:val="both"/>
        <w:rPr>
          <w:rFonts w:ascii="Verdana" w:hAnsi="Verdana" w:cstheme="minorHAnsi"/>
          <w:szCs w:val="20"/>
          <w:lang w:val="en-IN"/>
        </w:rPr>
      </w:pPr>
      <w:r w:rsidRPr="00B27ECB">
        <w:rPr>
          <w:rFonts w:ascii="Verdana" w:hAnsi="Verdana"/>
          <w:color w:val="000000" w:themeColor="text1"/>
        </w:rPr>
        <w:t>As the portion of current assets of the company is larger than non-current assets, real assets of the company is not expected to be a key concern of the management</w:t>
      </w:r>
      <w:r>
        <w:rPr>
          <w:rFonts w:ascii="Verdana" w:hAnsi="Verdana"/>
          <w:color w:val="000000" w:themeColor="text1"/>
        </w:rPr>
        <w:t>.</w:t>
      </w:r>
      <w:r w:rsidR="00D81FA0">
        <w:rPr>
          <w:rFonts w:ascii="Verdana" w:hAnsi="Verdana"/>
          <w:color w:val="000000" w:themeColor="text1"/>
        </w:rPr>
        <w:t xml:space="preserve"> Moreover, </w:t>
      </w:r>
      <w:r w:rsidR="003C6576" w:rsidRPr="003C6576">
        <w:rPr>
          <w:rFonts w:ascii="Verdana" w:hAnsi="Verdana" w:cstheme="minorHAnsi"/>
          <w:szCs w:val="20"/>
          <w:lang w:val="en-IN"/>
        </w:rPr>
        <w:t xml:space="preserve">the company’s </w:t>
      </w:r>
      <w:r w:rsidR="00D81FA0">
        <w:rPr>
          <w:rFonts w:ascii="Verdana" w:hAnsi="Verdana" w:cstheme="minorHAnsi"/>
          <w:szCs w:val="20"/>
          <w:lang w:val="en-IN"/>
        </w:rPr>
        <w:t>profitability over the year</w:t>
      </w:r>
      <w:r w:rsidR="003C6576" w:rsidRPr="003C6576">
        <w:rPr>
          <w:rFonts w:ascii="Verdana" w:hAnsi="Verdana" w:cstheme="minorHAnsi"/>
          <w:szCs w:val="20"/>
          <w:lang w:val="en-IN"/>
        </w:rPr>
        <w:t xml:space="preserve"> is not stable</w:t>
      </w:r>
      <w:r w:rsidR="00D81FA0">
        <w:rPr>
          <w:rFonts w:ascii="Verdana" w:hAnsi="Verdana" w:cstheme="minorHAnsi"/>
          <w:szCs w:val="20"/>
          <w:lang w:val="en-IN"/>
        </w:rPr>
        <w:t xml:space="preserve"> and hence</w:t>
      </w:r>
      <w:r w:rsidR="003C6576" w:rsidRPr="003C6576">
        <w:rPr>
          <w:rFonts w:ascii="Verdana" w:hAnsi="Verdana" w:cstheme="minorHAnsi"/>
          <w:szCs w:val="20"/>
          <w:lang w:val="en-IN"/>
        </w:rPr>
        <w:t xml:space="preserve"> we should not consider this amount as </w:t>
      </w:r>
      <w:r w:rsidR="00D81FA0">
        <w:rPr>
          <w:rFonts w:ascii="Verdana" w:hAnsi="Verdana" w:cstheme="minorHAnsi"/>
          <w:szCs w:val="20"/>
          <w:lang w:val="en-IN"/>
        </w:rPr>
        <w:t>b</w:t>
      </w:r>
      <w:r w:rsidR="003C6576" w:rsidRPr="003C6576">
        <w:rPr>
          <w:rFonts w:ascii="Verdana" w:hAnsi="Verdana" w:cstheme="minorHAnsi"/>
          <w:szCs w:val="20"/>
          <w:lang w:val="en-IN"/>
        </w:rPr>
        <w:t>enchmark for determining audit materiality.</w:t>
      </w:r>
    </w:p>
    <w:p w14:paraId="1C933BA8" w14:textId="3DCE8889" w:rsidR="003C6576" w:rsidRPr="003C6576" w:rsidRDefault="008E022B" w:rsidP="003C6576">
      <w:pPr>
        <w:jc w:val="both"/>
        <w:rPr>
          <w:rFonts w:ascii="Verdana" w:hAnsi="Verdana"/>
          <w:lang w:val="en-IN"/>
        </w:rPr>
      </w:pPr>
      <w:r w:rsidRPr="008E022B">
        <w:rPr>
          <w:rFonts w:ascii="Verdana" w:hAnsi="Verdana"/>
        </w:rPr>
        <w:lastRenderedPageBreak/>
        <w:t xml:space="preserve">At the current stage of operations, the management of the company is expected to </w:t>
      </w:r>
      <w:r w:rsidR="003C6576">
        <w:rPr>
          <w:rFonts w:ascii="Verdana" w:hAnsi="Verdana"/>
        </w:rPr>
        <w:t xml:space="preserve">be </w:t>
      </w:r>
      <w:r w:rsidRPr="008E022B">
        <w:rPr>
          <w:rFonts w:ascii="Verdana" w:hAnsi="Verdana"/>
        </w:rPr>
        <w:t>more concerned with revenue base.</w:t>
      </w:r>
      <w:r w:rsidR="003C6576">
        <w:rPr>
          <w:rFonts w:ascii="Verdana" w:hAnsi="Verdana"/>
        </w:rPr>
        <w:t xml:space="preserve"> Besides, </w:t>
      </w:r>
      <w:r w:rsidR="003C6576" w:rsidRPr="003C6576">
        <w:rPr>
          <w:rFonts w:ascii="Verdana" w:hAnsi="Verdana"/>
          <w:lang w:val="en-IN"/>
        </w:rPr>
        <w:t>the company’s revenue figures</w:t>
      </w:r>
      <w:r w:rsidR="003C6576">
        <w:rPr>
          <w:rFonts w:ascii="Verdana" w:hAnsi="Verdana"/>
          <w:lang w:val="en-IN"/>
        </w:rPr>
        <w:t xml:space="preserve"> over the years</w:t>
      </w:r>
      <w:r w:rsidR="003C6576" w:rsidRPr="003C6576">
        <w:rPr>
          <w:rFonts w:ascii="Verdana" w:hAnsi="Verdana"/>
          <w:lang w:val="en-IN"/>
        </w:rPr>
        <w:t xml:space="preserve"> have been fluctuating in a </w:t>
      </w:r>
      <w:r w:rsidR="003C6576">
        <w:rPr>
          <w:rFonts w:ascii="Verdana" w:hAnsi="Verdana"/>
          <w:lang w:val="en-IN"/>
        </w:rPr>
        <w:t>close</w:t>
      </w:r>
      <w:r w:rsidR="003C6576" w:rsidRPr="003C6576">
        <w:rPr>
          <w:rFonts w:ascii="Verdana" w:hAnsi="Verdana"/>
          <w:lang w:val="en-IN"/>
        </w:rPr>
        <w:t xml:space="preserve"> range</w:t>
      </w:r>
      <w:r w:rsidR="003C6576">
        <w:rPr>
          <w:rFonts w:ascii="Verdana" w:hAnsi="Verdana"/>
          <w:lang w:val="en-IN"/>
        </w:rPr>
        <w:t xml:space="preserve">. </w:t>
      </w:r>
    </w:p>
    <w:p w14:paraId="6FE9FB29" w14:textId="07C8EBC9" w:rsidR="008B6A95" w:rsidRPr="00083B51" w:rsidRDefault="008E022B" w:rsidP="008B6A95">
      <w:pPr>
        <w:jc w:val="both"/>
        <w:rPr>
          <w:rFonts w:ascii="Verdana" w:hAnsi="Verdana"/>
        </w:rPr>
      </w:pPr>
      <w:r>
        <w:rPr>
          <w:rFonts w:ascii="Verdana" w:hAnsi="Verdana"/>
        </w:rPr>
        <w:t>Therefore, r</w:t>
      </w:r>
      <w:r w:rsidR="00083B51" w:rsidRPr="00083B51">
        <w:rPr>
          <w:rFonts w:ascii="Verdana" w:hAnsi="Verdana"/>
        </w:rPr>
        <w:t>evenue can be considered as</w:t>
      </w:r>
      <w:r w:rsidR="00D81FA0">
        <w:rPr>
          <w:rFonts w:ascii="Verdana" w:hAnsi="Verdana"/>
        </w:rPr>
        <w:t xml:space="preserve"> a</w:t>
      </w:r>
      <w:r w:rsidR="00083B51" w:rsidRPr="00083B51">
        <w:rPr>
          <w:rFonts w:ascii="Verdana" w:hAnsi="Verdana"/>
        </w:rPr>
        <w:t xml:space="preserve"> rational and logical benchmark for calculating materiality of the company. </w:t>
      </w:r>
      <w:r w:rsidR="00B4373F">
        <w:rPr>
          <w:rFonts w:ascii="Verdana" w:hAnsi="Verdana"/>
        </w:rPr>
        <w:t xml:space="preserve">In the group referral instructions, revenue has also been considered to determine the group audit materiality. </w:t>
      </w:r>
      <w:r w:rsidR="009115C0" w:rsidRPr="00083B51">
        <w:rPr>
          <w:rFonts w:ascii="Verdana" w:hAnsi="Verdana"/>
        </w:rPr>
        <w:t xml:space="preserve">Accordingly, </w:t>
      </w:r>
      <w:r w:rsidR="00B819CA" w:rsidRPr="00083B51">
        <w:rPr>
          <w:rFonts w:ascii="Verdana" w:hAnsi="Verdana"/>
        </w:rPr>
        <w:t xml:space="preserve">the </w:t>
      </w:r>
      <w:r w:rsidR="008B6A95" w:rsidRPr="00083B51">
        <w:rPr>
          <w:rFonts w:ascii="Verdana" w:hAnsi="Verdana"/>
        </w:rPr>
        <w:t xml:space="preserve">engagement team </w:t>
      </w:r>
      <w:r>
        <w:rPr>
          <w:rFonts w:ascii="Verdana" w:hAnsi="Verdana"/>
        </w:rPr>
        <w:t xml:space="preserve">has considered </w:t>
      </w:r>
      <w:r w:rsidR="008B6A95" w:rsidRPr="00083B51">
        <w:rPr>
          <w:rFonts w:ascii="Verdana" w:hAnsi="Verdana"/>
        </w:rPr>
        <w:t xml:space="preserve">revenue as </w:t>
      </w:r>
      <w:r>
        <w:rPr>
          <w:rFonts w:ascii="Verdana" w:hAnsi="Verdana"/>
        </w:rPr>
        <w:t xml:space="preserve">reasonable </w:t>
      </w:r>
      <w:r w:rsidR="00C43EC1">
        <w:rPr>
          <w:rFonts w:ascii="Verdana" w:hAnsi="Verdana"/>
        </w:rPr>
        <w:t xml:space="preserve">and justifiable </w:t>
      </w:r>
      <w:r w:rsidR="008B6A95" w:rsidRPr="00083B51">
        <w:rPr>
          <w:rFonts w:ascii="Verdana" w:hAnsi="Verdana"/>
        </w:rPr>
        <w:t xml:space="preserve">benchmark </w:t>
      </w:r>
      <w:r w:rsidR="004C4238" w:rsidRPr="00083B51">
        <w:rPr>
          <w:rFonts w:ascii="Verdana" w:hAnsi="Verdana"/>
        </w:rPr>
        <w:t xml:space="preserve">for materiality </w:t>
      </w:r>
      <w:r>
        <w:rPr>
          <w:rFonts w:ascii="Verdana" w:hAnsi="Verdana"/>
        </w:rPr>
        <w:t>determination</w:t>
      </w:r>
      <w:r w:rsidR="008B6A95" w:rsidRPr="00083B51">
        <w:rPr>
          <w:rFonts w:ascii="Verdana" w:hAnsi="Verdana"/>
        </w:rPr>
        <w:t xml:space="preserve">. </w:t>
      </w:r>
    </w:p>
    <w:p w14:paraId="7E5539B8" w14:textId="271EE535" w:rsidR="008B6A95" w:rsidRPr="00E612B0" w:rsidRDefault="008B6A95" w:rsidP="008B6A95">
      <w:pPr>
        <w:jc w:val="both"/>
        <w:rPr>
          <w:rFonts w:ascii="Verdana" w:hAnsi="Verdana"/>
          <w:b/>
        </w:rPr>
      </w:pPr>
      <w:r w:rsidRPr="00704153">
        <w:rPr>
          <w:rFonts w:ascii="Verdana" w:hAnsi="Verdana"/>
          <w:b/>
        </w:rPr>
        <w:t>Percentage to be applied to the benchmark:</w:t>
      </w:r>
      <w:r>
        <w:rPr>
          <w:rFonts w:ascii="Verdana" w:hAnsi="Verdana"/>
          <w:b/>
        </w:rPr>
        <w:t xml:space="preserve"> </w:t>
      </w:r>
      <w:r w:rsidRPr="00704153">
        <w:rPr>
          <w:rFonts w:ascii="Verdana" w:hAnsi="Verdana"/>
        </w:rPr>
        <w:t>Based on</w:t>
      </w:r>
      <w:r>
        <w:rPr>
          <w:rFonts w:ascii="Verdana" w:hAnsi="Verdana"/>
        </w:rPr>
        <w:t xml:space="preserve"> DAAM 13100 </w:t>
      </w:r>
      <w:r w:rsidR="00372199">
        <w:rPr>
          <w:rFonts w:ascii="Verdana" w:hAnsi="Verdana"/>
        </w:rPr>
        <w:t>P</w:t>
      </w:r>
      <w:r>
        <w:rPr>
          <w:rFonts w:ascii="Verdana" w:hAnsi="Verdana"/>
        </w:rPr>
        <w:t>ara 22A, m</w:t>
      </w:r>
      <w:r w:rsidRPr="00994728">
        <w:rPr>
          <w:rFonts w:ascii="Verdana" w:hAnsi="Verdana"/>
        </w:rPr>
        <w:t>ateriality using revenue as the relevant benchmark may be determined by applying a percentage within a range of 0.80</w:t>
      </w:r>
      <w:r>
        <w:rPr>
          <w:rFonts w:ascii="Verdana" w:hAnsi="Verdana"/>
        </w:rPr>
        <w:t>%</w:t>
      </w:r>
      <w:r w:rsidRPr="00994728">
        <w:rPr>
          <w:rFonts w:ascii="Verdana" w:hAnsi="Verdana"/>
        </w:rPr>
        <w:t xml:space="preserve"> to 5</w:t>
      </w:r>
      <w:r>
        <w:rPr>
          <w:rFonts w:ascii="Verdana" w:hAnsi="Verdana"/>
        </w:rPr>
        <w:t xml:space="preserve">% </w:t>
      </w:r>
      <w:r w:rsidRPr="00994728">
        <w:rPr>
          <w:rFonts w:ascii="Verdana" w:hAnsi="Verdana"/>
        </w:rPr>
        <w:t>of revenue. Professional judgement is used to determine what percentage is appropriate for the audit of the Company. The engagement team considered the size and maturity of the Company.</w:t>
      </w:r>
      <w:r>
        <w:rPr>
          <w:rFonts w:ascii="Verdana" w:hAnsi="Verdana"/>
        </w:rPr>
        <w:t xml:space="preserve"> As the Company is a private limited company</w:t>
      </w:r>
      <w:r w:rsidR="00214151">
        <w:rPr>
          <w:rFonts w:ascii="Verdana" w:hAnsi="Verdana"/>
        </w:rPr>
        <w:t>,</w:t>
      </w:r>
      <w:r w:rsidR="005F0CAD">
        <w:rPr>
          <w:rFonts w:ascii="Verdana" w:hAnsi="Verdana"/>
        </w:rPr>
        <w:t xml:space="preserve"> </w:t>
      </w:r>
      <w:r w:rsidR="00333E73">
        <w:rPr>
          <w:rFonts w:ascii="Verdana" w:hAnsi="Verdana"/>
        </w:rPr>
        <w:t>with 17</w:t>
      </w:r>
      <w:r w:rsidR="009641C5">
        <w:rPr>
          <w:rFonts w:ascii="Verdana" w:hAnsi="Verdana"/>
        </w:rPr>
        <w:t xml:space="preserve"> years</w:t>
      </w:r>
      <w:r w:rsidR="00214151">
        <w:rPr>
          <w:rFonts w:ascii="Verdana" w:hAnsi="Verdana"/>
        </w:rPr>
        <w:t xml:space="preserve"> </w:t>
      </w:r>
      <w:r w:rsidR="005F0CAD">
        <w:rPr>
          <w:rFonts w:ascii="Verdana" w:hAnsi="Verdana"/>
        </w:rPr>
        <w:t>history of operations,</w:t>
      </w:r>
      <w:r w:rsidR="00333E73">
        <w:rPr>
          <w:rFonts w:ascii="Verdana" w:hAnsi="Verdana"/>
        </w:rPr>
        <w:t xml:space="preserve"> having </w:t>
      </w:r>
      <w:r w:rsidR="00214151">
        <w:rPr>
          <w:rFonts w:ascii="Verdana" w:hAnsi="Verdana"/>
        </w:rPr>
        <w:t>no fraud/corruption history,</w:t>
      </w:r>
      <w:r w:rsidR="00840907">
        <w:rPr>
          <w:rFonts w:ascii="Verdana" w:hAnsi="Verdana"/>
        </w:rPr>
        <w:t xml:space="preserve"> </w:t>
      </w:r>
      <w:r>
        <w:rPr>
          <w:rFonts w:ascii="Verdana" w:hAnsi="Verdana"/>
        </w:rPr>
        <w:t>the engagement team c</w:t>
      </w:r>
      <w:r w:rsidR="002602BC">
        <w:rPr>
          <w:rFonts w:ascii="Verdana" w:hAnsi="Verdana"/>
        </w:rPr>
        <w:t xml:space="preserve">alculated materiality based on </w:t>
      </w:r>
      <w:r w:rsidR="00F32A26">
        <w:rPr>
          <w:rFonts w:ascii="Verdana" w:hAnsi="Verdana"/>
        </w:rPr>
        <w:t>1.5</w:t>
      </w:r>
      <w:r>
        <w:rPr>
          <w:rFonts w:ascii="Verdana" w:hAnsi="Verdana"/>
        </w:rPr>
        <w:t>% of revenue</w:t>
      </w:r>
      <w:r w:rsidR="00611CAA">
        <w:rPr>
          <w:rFonts w:ascii="Verdana" w:hAnsi="Verdana"/>
        </w:rPr>
        <w:t xml:space="preserve"> to keep the materiality at the lower part</w:t>
      </w:r>
      <w:r>
        <w:rPr>
          <w:rFonts w:ascii="Verdana" w:hAnsi="Verdana"/>
        </w:rPr>
        <w:t>. The engagement team is still on the lower side of the prescribed range per DAAM. The percentages are reasonable because of the following</w:t>
      </w:r>
      <w:r w:rsidR="00214151">
        <w:rPr>
          <w:rFonts w:ascii="Verdana" w:hAnsi="Verdana"/>
        </w:rPr>
        <w:t xml:space="preserve"> as well: </w:t>
      </w:r>
    </w:p>
    <w:p w14:paraId="2694425A" w14:textId="79D66DB1" w:rsidR="008B6A95" w:rsidRPr="005F0CAD" w:rsidRDefault="008B6A95" w:rsidP="008B6A95">
      <w:pPr>
        <w:pStyle w:val="ListParagraph"/>
        <w:numPr>
          <w:ilvl w:val="0"/>
          <w:numId w:val="29"/>
        </w:numPr>
        <w:jc w:val="both"/>
        <w:rPr>
          <w:rFonts w:ascii="Verdana" w:hAnsi="Verdana"/>
          <w:color w:val="000000" w:themeColor="text1"/>
        </w:rPr>
      </w:pPr>
      <w:r w:rsidRPr="005F0CAD">
        <w:rPr>
          <w:rFonts w:ascii="Verdana" w:hAnsi="Verdana"/>
          <w:color w:val="000000" w:themeColor="text1"/>
        </w:rPr>
        <w:t>The company is a private limited company</w:t>
      </w:r>
    </w:p>
    <w:p w14:paraId="59816A7A" w14:textId="323B2AD2" w:rsidR="008B6A95" w:rsidRDefault="008B6A95" w:rsidP="008B6A95">
      <w:pPr>
        <w:pStyle w:val="ListParagraph"/>
        <w:numPr>
          <w:ilvl w:val="0"/>
          <w:numId w:val="29"/>
        </w:numPr>
        <w:jc w:val="both"/>
        <w:rPr>
          <w:rFonts w:ascii="Verdana" w:hAnsi="Verdana"/>
          <w:color w:val="000000" w:themeColor="text1"/>
        </w:rPr>
      </w:pPr>
      <w:r w:rsidRPr="005F0CAD">
        <w:rPr>
          <w:rFonts w:ascii="Verdana" w:hAnsi="Verdana"/>
          <w:color w:val="000000" w:themeColor="text1"/>
        </w:rPr>
        <w:t xml:space="preserve">No history of modification in audit report in prior year </w:t>
      </w:r>
    </w:p>
    <w:p w14:paraId="53676413" w14:textId="334A3B8D" w:rsidR="000A71AC" w:rsidRPr="005F0CAD" w:rsidRDefault="000A71AC" w:rsidP="008B6A95">
      <w:pPr>
        <w:pStyle w:val="ListParagraph"/>
        <w:numPr>
          <w:ilvl w:val="0"/>
          <w:numId w:val="29"/>
        </w:numPr>
        <w:jc w:val="both"/>
        <w:rPr>
          <w:rFonts w:ascii="Verdana" w:hAnsi="Verdana"/>
          <w:color w:val="000000" w:themeColor="text1"/>
        </w:rPr>
      </w:pPr>
      <w:r>
        <w:rPr>
          <w:rFonts w:ascii="Verdana" w:hAnsi="Verdana"/>
          <w:color w:val="000000" w:themeColor="text1"/>
        </w:rPr>
        <w:t xml:space="preserve">Engagement risk of the company is </w:t>
      </w:r>
      <w:r w:rsidR="00D72CE4">
        <w:rPr>
          <w:rFonts w:ascii="Verdana" w:hAnsi="Verdana"/>
          <w:color w:val="000000" w:themeColor="text1"/>
        </w:rPr>
        <w:t xml:space="preserve">assessed as </w:t>
      </w:r>
      <w:r>
        <w:rPr>
          <w:rFonts w:ascii="Verdana" w:hAnsi="Verdana"/>
          <w:color w:val="000000" w:themeColor="text1"/>
        </w:rPr>
        <w:t>normal</w:t>
      </w:r>
    </w:p>
    <w:p w14:paraId="54DE9E50" w14:textId="245D9737" w:rsidR="008B6A95" w:rsidRPr="00994728" w:rsidRDefault="008B6A95" w:rsidP="008B6A95">
      <w:pPr>
        <w:jc w:val="both"/>
        <w:rPr>
          <w:rFonts w:ascii="Verdana" w:hAnsi="Verdana" w:cs="Open Sans"/>
        </w:rPr>
      </w:pPr>
      <w:r w:rsidRPr="00994728">
        <w:rPr>
          <w:rFonts w:ascii="Verdana" w:hAnsi="Verdana" w:cs="Open Sans"/>
          <w:b/>
        </w:rPr>
        <w:t>Determination of performance materiality:</w:t>
      </w:r>
      <w:r w:rsidRPr="00994728">
        <w:rPr>
          <w:rFonts w:ascii="Verdana" w:hAnsi="Verdana" w:cs="Open Sans"/>
        </w:rPr>
        <w:t xml:space="preserve"> </w:t>
      </w:r>
      <w:r w:rsidR="005F0CAD">
        <w:rPr>
          <w:rFonts w:ascii="Verdana" w:hAnsi="Verdana" w:cs="Open Sans"/>
        </w:rPr>
        <w:t>As p</w:t>
      </w:r>
      <w:r w:rsidRPr="00994728">
        <w:rPr>
          <w:rFonts w:ascii="Verdana" w:hAnsi="Verdana" w:cs="Open Sans"/>
        </w:rPr>
        <w:t xml:space="preserve">er DAM 13100 </w:t>
      </w:r>
      <w:r w:rsidR="00C81F91">
        <w:rPr>
          <w:rFonts w:ascii="Verdana" w:hAnsi="Verdana" w:cs="Open Sans"/>
        </w:rPr>
        <w:t>P</w:t>
      </w:r>
      <w:r w:rsidRPr="00994728">
        <w:rPr>
          <w:rFonts w:ascii="Verdana" w:hAnsi="Verdana" w:cs="Open Sans"/>
        </w:rPr>
        <w:t>ara 29, the determination of performance materiality involves the exercise of professional judgment. It is affected by the understanding of the entity, updated during the performance of the risk assessment procedures</w:t>
      </w:r>
      <w:r w:rsidR="005F0CAD">
        <w:rPr>
          <w:rFonts w:ascii="Verdana" w:hAnsi="Verdana" w:cs="Open Sans"/>
        </w:rPr>
        <w:t>,</w:t>
      </w:r>
      <w:r w:rsidRPr="00994728">
        <w:rPr>
          <w:rFonts w:ascii="Verdana" w:hAnsi="Verdana" w:cs="Open Sans"/>
        </w:rPr>
        <w:t xml:space="preserve"> and the nature and extent of misstatements identified in previous audits and thereby the auditor’s expectations in relation to misstatements in the current period. </w:t>
      </w:r>
      <w:r w:rsidRPr="005F0CAD">
        <w:rPr>
          <w:rFonts w:ascii="Verdana" w:hAnsi="Verdana" w:cs="Open Sans"/>
          <w:color w:val="000000" w:themeColor="text1"/>
        </w:rPr>
        <w:t>The engagement team ha</w:t>
      </w:r>
      <w:r w:rsidR="00FC59AC">
        <w:rPr>
          <w:rFonts w:ascii="Verdana" w:hAnsi="Verdana" w:cs="Open Sans"/>
          <w:color w:val="000000" w:themeColor="text1"/>
        </w:rPr>
        <w:t>s</w:t>
      </w:r>
      <w:r w:rsidRPr="005F0CAD">
        <w:rPr>
          <w:rFonts w:ascii="Verdana" w:hAnsi="Verdana" w:cs="Open Sans"/>
          <w:color w:val="000000" w:themeColor="text1"/>
        </w:rPr>
        <w:t xml:space="preserve"> not identified uncorrected misstatement and do not estimate any uncorrected misstatement. </w:t>
      </w:r>
    </w:p>
    <w:p w14:paraId="7B6C54A7" w14:textId="60B761E3" w:rsidR="008B6A95" w:rsidRPr="00994728" w:rsidRDefault="000F0F7D" w:rsidP="008B6A95">
      <w:pPr>
        <w:jc w:val="both"/>
        <w:rPr>
          <w:rFonts w:ascii="Verdana" w:hAnsi="Verdana" w:cs="Open Sans"/>
        </w:rPr>
      </w:pPr>
      <w:r>
        <w:rPr>
          <w:rFonts w:ascii="Verdana" w:hAnsi="Verdana" w:cs="Open Sans"/>
        </w:rPr>
        <w:t xml:space="preserve">As </w:t>
      </w:r>
      <w:r w:rsidR="008B6A95" w:rsidRPr="000F0F7D">
        <w:rPr>
          <w:rFonts w:ascii="Verdana" w:hAnsi="Verdana" w:cs="Open Sans"/>
        </w:rPr>
        <w:t xml:space="preserve">Per DAM 13100 </w:t>
      </w:r>
      <w:r w:rsidR="005F0CAD" w:rsidRPr="000F0F7D">
        <w:rPr>
          <w:rFonts w:ascii="Verdana" w:hAnsi="Verdana" w:cs="Open Sans"/>
        </w:rPr>
        <w:t>P</w:t>
      </w:r>
      <w:r w:rsidR="008B6A95" w:rsidRPr="000F0F7D">
        <w:rPr>
          <w:rFonts w:ascii="Verdana" w:hAnsi="Verdana" w:cs="Open Sans"/>
        </w:rPr>
        <w:t xml:space="preserve">ara 32 &amp; 33, even though the engagement team </w:t>
      </w:r>
      <w:r>
        <w:rPr>
          <w:rFonts w:ascii="Verdana" w:hAnsi="Verdana" w:cs="Open Sans"/>
        </w:rPr>
        <w:t>does</w:t>
      </w:r>
      <w:r w:rsidR="00FC59AC">
        <w:rPr>
          <w:rFonts w:ascii="Verdana" w:hAnsi="Verdana" w:cs="Open Sans"/>
        </w:rPr>
        <w:t xml:space="preserve"> </w:t>
      </w:r>
      <w:r>
        <w:rPr>
          <w:rFonts w:ascii="Verdana" w:hAnsi="Verdana" w:cs="Open Sans"/>
        </w:rPr>
        <w:t>n</w:t>
      </w:r>
      <w:r w:rsidR="00FC59AC">
        <w:rPr>
          <w:rFonts w:ascii="Verdana" w:hAnsi="Verdana" w:cs="Open Sans"/>
        </w:rPr>
        <w:t>o</w:t>
      </w:r>
      <w:r>
        <w:rPr>
          <w:rFonts w:ascii="Verdana" w:hAnsi="Verdana" w:cs="Open Sans"/>
        </w:rPr>
        <w:t>t</w:t>
      </w:r>
      <w:r w:rsidR="008B6A95" w:rsidRPr="000F0F7D">
        <w:rPr>
          <w:rFonts w:ascii="Verdana" w:hAnsi="Verdana" w:cs="Open Sans"/>
        </w:rPr>
        <w:t xml:space="preserve"> anticipate that no misstatements will be detected or that management will correct all misstatements, performance materiality shall be set at a lower level than materiality to reduce the risk of reaching an inappropriate audit conclusion.</w:t>
      </w:r>
      <w:r w:rsidR="008B6A95" w:rsidRPr="00994728">
        <w:rPr>
          <w:rFonts w:ascii="Verdana" w:hAnsi="Verdana" w:cs="Open Sans"/>
        </w:rPr>
        <w:t xml:space="preserve"> </w:t>
      </w:r>
    </w:p>
    <w:p w14:paraId="275108A9" w14:textId="5E644D3F" w:rsidR="008B6A95" w:rsidRPr="000049A0" w:rsidRDefault="00AF7430" w:rsidP="008B6A95">
      <w:pPr>
        <w:jc w:val="both"/>
        <w:rPr>
          <w:rFonts w:ascii="Verdana" w:hAnsi="Verdana" w:cs="Open Sans"/>
        </w:rPr>
      </w:pPr>
      <w:r w:rsidRPr="000049A0">
        <w:rPr>
          <w:rFonts w:ascii="Verdana" w:hAnsi="Verdana" w:cs="Open Sans"/>
        </w:rPr>
        <w:t>T</w:t>
      </w:r>
      <w:r w:rsidR="008B6A95" w:rsidRPr="000049A0">
        <w:rPr>
          <w:rFonts w:ascii="Verdana" w:hAnsi="Verdana" w:cs="Open Sans"/>
        </w:rPr>
        <w:t xml:space="preserve">he engagement team has determined performance materiality </w:t>
      </w:r>
      <w:r w:rsidR="008B6A95" w:rsidRPr="000049A0">
        <w:rPr>
          <w:rFonts w:ascii="Verdana" w:hAnsi="Verdana" w:cs="Open Sans"/>
          <w:color w:val="000000" w:themeColor="text1"/>
        </w:rPr>
        <w:t xml:space="preserve">@ </w:t>
      </w:r>
      <w:r w:rsidR="00B27ECB">
        <w:rPr>
          <w:rFonts w:ascii="Verdana" w:hAnsi="Verdana" w:cs="Open Sans"/>
          <w:color w:val="000000" w:themeColor="text1"/>
        </w:rPr>
        <w:t>75</w:t>
      </w:r>
      <w:r w:rsidR="008B6A95" w:rsidRPr="000049A0">
        <w:rPr>
          <w:rFonts w:ascii="Verdana" w:hAnsi="Verdana" w:cs="Open Sans"/>
          <w:color w:val="000000" w:themeColor="text1"/>
        </w:rPr>
        <w:t>% of materiality,</w:t>
      </w:r>
      <w:r w:rsidR="008B6A95" w:rsidRPr="000049A0">
        <w:rPr>
          <w:rFonts w:ascii="Verdana" w:hAnsi="Verdana" w:cs="Open Sans"/>
        </w:rPr>
        <w:t xml:space="preserve"> i.e. </w:t>
      </w:r>
      <w:r w:rsidR="00B27ECB">
        <w:rPr>
          <w:rFonts w:ascii="Verdana" w:hAnsi="Verdana" w:cs="Open Sans"/>
          <w:color w:val="000000" w:themeColor="text1"/>
        </w:rPr>
        <w:t>USD</w:t>
      </w:r>
      <w:r w:rsidR="008B6A95" w:rsidRPr="000049A0">
        <w:rPr>
          <w:rFonts w:ascii="Verdana" w:hAnsi="Verdana" w:cs="Open Sans"/>
          <w:b/>
          <w:bCs/>
          <w:color w:val="FF0000"/>
        </w:rPr>
        <w:t xml:space="preserve"> </w:t>
      </w:r>
      <w:r w:rsidR="00B27ECB">
        <w:rPr>
          <w:rFonts w:ascii="Verdana" w:eastAsia="Times New Roman" w:hAnsi="Verdana" w:cs="Calibri"/>
          <w:color w:val="000000"/>
        </w:rPr>
        <w:t>976</w:t>
      </w:r>
      <w:r w:rsidR="008B6A95" w:rsidRPr="000049A0">
        <w:rPr>
          <w:rFonts w:ascii="Verdana" w:hAnsi="Verdana" w:cs="Open Sans"/>
        </w:rPr>
        <w:t>,</w:t>
      </w:r>
      <w:r w:rsidR="00B27ECB">
        <w:rPr>
          <w:rFonts w:ascii="Verdana" w:hAnsi="Verdana" w:cs="Open Sans"/>
        </w:rPr>
        <w:t>500</w:t>
      </w:r>
      <w:r w:rsidR="008B6A95" w:rsidRPr="000049A0">
        <w:rPr>
          <w:rFonts w:ascii="Verdana" w:hAnsi="Verdana" w:cs="Open Sans"/>
        </w:rPr>
        <w:t xml:space="preserve"> which is lower than the materiality.</w:t>
      </w:r>
      <w:r w:rsidR="00690E4D" w:rsidRPr="000049A0">
        <w:rPr>
          <w:rFonts w:ascii="Verdana" w:hAnsi="Verdana" w:cs="Open Sans"/>
        </w:rPr>
        <w:t xml:space="preserve"> </w:t>
      </w:r>
      <w:r w:rsidRPr="000049A0">
        <w:rPr>
          <w:rFonts w:ascii="Verdana" w:hAnsi="Verdana"/>
        </w:rPr>
        <w:t>Rules of Thumb suggests using percentages range from 60% to 85% depending on the risk of material misstatements. Considering</w:t>
      </w:r>
      <w:r w:rsidR="00064129">
        <w:rPr>
          <w:rFonts w:ascii="Verdana" w:hAnsi="Verdana"/>
        </w:rPr>
        <w:t xml:space="preserve"> </w:t>
      </w:r>
      <w:r w:rsidR="00CA544D">
        <w:rPr>
          <w:rFonts w:ascii="Verdana" w:hAnsi="Verdana"/>
        </w:rPr>
        <w:t xml:space="preserve">the </w:t>
      </w:r>
      <w:r w:rsidR="00064129">
        <w:rPr>
          <w:rFonts w:ascii="Verdana" w:hAnsi="Verdana"/>
        </w:rPr>
        <w:t>third-year</w:t>
      </w:r>
      <w:r w:rsidRPr="000049A0">
        <w:rPr>
          <w:rFonts w:ascii="Verdana" w:hAnsi="Verdana"/>
        </w:rPr>
        <w:t xml:space="preserve"> audit and </w:t>
      </w:r>
      <w:r w:rsidR="00064129">
        <w:rPr>
          <w:rFonts w:ascii="Verdana" w:hAnsi="Verdana"/>
        </w:rPr>
        <w:t>low</w:t>
      </w:r>
      <w:r w:rsidRPr="000049A0">
        <w:rPr>
          <w:rFonts w:ascii="Verdana" w:hAnsi="Verdana"/>
        </w:rPr>
        <w:t xml:space="preserve"> nature of implied risk of material misstatements, performance materiality has been considered as </w:t>
      </w:r>
      <w:r w:rsidR="00333E73">
        <w:rPr>
          <w:rFonts w:ascii="Verdana" w:hAnsi="Verdana"/>
        </w:rPr>
        <w:t>75</w:t>
      </w:r>
      <w:r w:rsidRPr="000049A0">
        <w:rPr>
          <w:rFonts w:ascii="Verdana" w:hAnsi="Verdana"/>
        </w:rPr>
        <w:t>% for all classes of accounts.</w:t>
      </w:r>
      <w:r w:rsidRPr="000049A0">
        <w:t xml:space="preserve"> </w:t>
      </w:r>
    </w:p>
    <w:p w14:paraId="52395302" w14:textId="6A5F0696" w:rsidR="008B6A95" w:rsidRPr="00994728" w:rsidRDefault="008B6A95" w:rsidP="008B6A95">
      <w:pPr>
        <w:jc w:val="both"/>
        <w:rPr>
          <w:rFonts w:ascii="Verdana" w:hAnsi="Verdana" w:cs="Open Sans"/>
        </w:rPr>
      </w:pPr>
      <w:r w:rsidRPr="00994728">
        <w:rPr>
          <w:rFonts w:ascii="Verdana" w:hAnsi="Verdana" w:cs="Open Sans"/>
          <w:b/>
        </w:rPr>
        <w:t xml:space="preserve">Clearly trivial </w:t>
      </w:r>
      <w:r w:rsidR="00D65F10">
        <w:rPr>
          <w:rFonts w:ascii="Verdana" w:hAnsi="Verdana" w:cs="Open Sans"/>
          <w:b/>
        </w:rPr>
        <w:t>threshold</w:t>
      </w:r>
      <w:r w:rsidR="00722B6A">
        <w:rPr>
          <w:rFonts w:ascii="Verdana" w:hAnsi="Verdana" w:cs="Open Sans"/>
          <w:b/>
        </w:rPr>
        <w:t xml:space="preserve"> (CTT)</w:t>
      </w:r>
      <w:r w:rsidRPr="00994728">
        <w:rPr>
          <w:rFonts w:ascii="Verdana" w:hAnsi="Verdana" w:cs="Open Sans"/>
          <w:b/>
        </w:rPr>
        <w:t xml:space="preserve">: </w:t>
      </w:r>
      <w:r w:rsidR="00C81F91">
        <w:rPr>
          <w:rFonts w:ascii="Verdana" w:hAnsi="Verdana" w:cs="Open Sans"/>
        </w:rPr>
        <w:t>According to</w:t>
      </w:r>
      <w:r w:rsidRPr="00994728">
        <w:rPr>
          <w:rFonts w:ascii="Verdana" w:hAnsi="Verdana" w:cs="Open Sans"/>
        </w:rPr>
        <w:t xml:space="preserve"> DAM 13100 </w:t>
      </w:r>
      <w:r w:rsidR="005572C9">
        <w:rPr>
          <w:rFonts w:ascii="Verdana" w:hAnsi="Verdana" w:cs="Open Sans"/>
        </w:rPr>
        <w:t>P</w:t>
      </w:r>
      <w:r w:rsidRPr="00994728">
        <w:rPr>
          <w:rFonts w:ascii="Verdana" w:hAnsi="Verdana" w:cs="Open Sans"/>
        </w:rPr>
        <w:t>ara 40, upto 5</w:t>
      </w:r>
      <w:r w:rsidR="00777CB8">
        <w:rPr>
          <w:rFonts w:ascii="Verdana" w:hAnsi="Verdana" w:cs="Open Sans"/>
        </w:rPr>
        <w:t xml:space="preserve">% </w:t>
      </w:r>
      <w:r w:rsidRPr="00994728">
        <w:rPr>
          <w:rFonts w:ascii="Verdana" w:hAnsi="Verdana" w:cs="Open Sans"/>
        </w:rPr>
        <w:t xml:space="preserve">of materiality is often considered as </w:t>
      </w:r>
      <w:r w:rsidR="00722B6A">
        <w:rPr>
          <w:rFonts w:ascii="Verdana" w:hAnsi="Verdana" w:cs="Open Sans"/>
        </w:rPr>
        <w:t>CTT</w:t>
      </w:r>
      <w:r w:rsidRPr="00994728">
        <w:rPr>
          <w:rFonts w:ascii="Verdana" w:hAnsi="Verdana" w:cs="Open Sans"/>
        </w:rPr>
        <w:t>. The engagement partner may determine, based on the facts and circumstances of the entity and the audit engagement, that a lower level is appropriate. Factors such as the nature of the entity, history of misstatements, and number of locations may affect the actual threshold of what we consider clearly trivial.</w:t>
      </w:r>
      <w:r w:rsidRPr="000B4F88">
        <w:rPr>
          <w:rFonts w:ascii="Open Sans" w:hAnsi="Open Sans" w:cs="Open Sans"/>
          <w:sz w:val="18"/>
          <w:szCs w:val="20"/>
        </w:rPr>
        <w:t xml:space="preserve"> </w:t>
      </w:r>
      <w:r w:rsidRPr="00FD2B25">
        <w:rPr>
          <w:rFonts w:ascii="Verdana" w:hAnsi="Verdana" w:cs="Open Sans"/>
        </w:rPr>
        <w:t>As such</w:t>
      </w:r>
      <w:r w:rsidR="000F0F7D">
        <w:rPr>
          <w:rFonts w:ascii="Verdana" w:hAnsi="Verdana" w:cs="Open Sans"/>
        </w:rPr>
        <w:t>,</w:t>
      </w:r>
      <w:r w:rsidRPr="00FD2B25">
        <w:rPr>
          <w:rFonts w:ascii="Verdana" w:hAnsi="Verdana" w:cs="Open Sans"/>
        </w:rPr>
        <w:t xml:space="preserve"> we have considered the maximum percentage allowed by DAM</w:t>
      </w:r>
      <w:r w:rsidRPr="00994728">
        <w:rPr>
          <w:rFonts w:ascii="Verdana" w:hAnsi="Verdana" w:cs="Open Sans"/>
        </w:rPr>
        <w:t>.</w:t>
      </w:r>
    </w:p>
    <w:p w14:paraId="2F3897F9" w14:textId="069DAB48" w:rsidR="008B6A95" w:rsidRDefault="008B6A95" w:rsidP="008B6A95">
      <w:pPr>
        <w:jc w:val="both"/>
        <w:rPr>
          <w:rFonts w:ascii="Verdana" w:hAnsi="Verdana" w:cs="Open Sans"/>
        </w:rPr>
      </w:pPr>
      <w:r>
        <w:rPr>
          <w:rFonts w:ascii="Verdana" w:hAnsi="Verdana" w:cs="Open Sans"/>
        </w:rPr>
        <w:t>The following table summarizes materiality</w:t>
      </w:r>
      <w:r w:rsidR="000F0F7D">
        <w:rPr>
          <w:rFonts w:ascii="Verdana" w:hAnsi="Verdana" w:cs="Open Sans"/>
        </w:rPr>
        <w:t>, performance materiality, and clearly trivial threshold</w:t>
      </w:r>
      <w:r>
        <w:rPr>
          <w:rFonts w:ascii="Verdana" w:hAnsi="Verdana" w:cs="Open Sans"/>
        </w:rPr>
        <w:t xml:space="preserve"> determined by the engagement team</w:t>
      </w:r>
      <w:r w:rsidR="00B819CA">
        <w:rPr>
          <w:rFonts w:ascii="Verdana" w:hAnsi="Verdana" w:cs="Open Sans"/>
        </w:rPr>
        <w:t xml:space="preserve">. </w:t>
      </w:r>
    </w:p>
    <w:tbl>
      <w:tblPr>
        <w:tblStyle w:val="TableGrid"/>
        <w:tblW w:w="0" w:type="auto"/>
        <w:tblLook w:val="04A0" w:firstRow="1" w:lastRow="0" w:firstColumn="1" w:lastColumn="0" w:noHBand="0" w:noVBand="1"/>
      </w:tblPr>
      <w:tblGrid>
        <w:gridCol w:w="4855"/>
        <w:gridCol w:w="1710"/>
        <w:gridCol w:w="1710"/>
        <w:gridCol w:w="1638"/>
      </w:tblGrid>
      <w:tr w:rsidR="00EF59D5" w14:paraId="66131E01" w14:textId="77777777" w:rsidTr="00385E24">
        <w:tc>
          <w:tcPr>
            <w:tcW w:w="4855" w:type="dxa"/>
            <w:vAlign w:val="center"/>
          </w:tcPr>
          <w:p w14:paraId="21EE5A71" w14:textId="6FAC97EE" w:rsidR="00EF59D5" w:rsidRDefault="00EF59D5" w:rsidP="005572C9">
            <w:pPr>
              <w:jc w:val="center"/>
              <w:rPr>
                <w:rFonts w:ascii="Verdana" w:hAnsi="Verdana" w:cs="Arial"/>
              </w:rPr>
            </w:pPr>
            <w:r w:rsidRPr="00EB7078">
              <w:rPr>
                <w:rFonts w:ascii="Verdana" w:hAnsi="Verdana" w:cs="Open Sans"/>
                <w:b/>
              </w:rPr>
              <w:lastRenderedPageBreak/>
              <w:t>Benchmark</w:t>
            </w:r>
          </w:p>
        </w:tc>
        <w:tc>
          <w:tcPr>
            <w:tcW w:w="1710" w:type="dxa"/>
            <w:vAlign w:val="center"/>
          </w:tcPr>
          <w:p w14:paraId="50106310" w14:textId="6ADF62E3" w:rsidR="00EF59D5" w:rsidRDefault="00EF59D5" w:rsidP="005572C9">
            <w:pPr>
              <w:jc w:val="center"/>
              <w:rPr>
                <w:rFonts w:ascii="Verdana" w:hAnsi="Verdana" w:cs="Arial"/>
              </w:rPr>
            </w:pPr>
            <w:r w:rsidRPr="00EB7078">
              <w:rPr>
                <w:rFonts w:ascii="Verdana" w:hAnsi="Verdana" w:cs="Open Sans"/>
                <w:b/>
              </w:rPr>
              <w:t>Amount</w:t>
            </w:r>
            <w:r w:rsidR="00D81FA0">
              <w:rPr>
                <w:rFonts w:ascii="Verdana" w:hAnsi="Verdana" w:cs="Open Sans"/>
                <w:b/>
              </w:rPr>
              <w:t xml:space="preserve"> (USD)</w:t>
            </w:r>
          </w:p>
        </w:tc>
        <w:tc>
          <w:tcPr>
            <w:tcW w:w="1710" w:type="dxa"/>
            <w:vAlign w:val="center"/>
          </w:tcPr>
          <w:p w14:paraId="1FB54EA2" w14:textId="4BD47AF3" w:rsidR="00EF59D5" w:rsidRDefault="00EF59D5" w:rsidP="005572C9">
            <w:pPr>
              <w:jc w:val="center"/>
              <w:rPr>
                <w:rFonts w:ascii="Verdana" w:hAnsi="Verdana" w:cs="Arial"/>
              </w:rPr>
            </w:pPr>
            <w:r w:rsidRPr="00EB7078">
              <w:rPr>
                <w:rFonts w:ascii="Verdana" w:hAnsi="Verdana" w:cs="Open Sans"/>
                <w:b/>
              </w:rPr>
              <w:t>Percentage applied</w:t>
            </w:r>
            <w:r w:rsidR="00D81FA0">
              <w:rPr>
                <w:rFonts w:ascii="Verdana" w:hAnsi="Verdana" w:cs="Open Sans"/>
                <w:b/>
              </w:rPr>
              <w:t xml:space="preserve"> </w:t>
            </w:r>
          </w:p>
        </w:tc>
        <w:tc>
          <w:tcPr>
            <w:tcW w:w="1638" w:type="dxa"/>
            <w:vAlign w:val="center"/>
          </w:tcPr>
          <w:p w14:paraId="09964CF6" w14:textId="2403D7F7" w:rsidR="00EF59D5" w:rsidRDefault="00EF59D5" w:rsidP="005572C9">
            <w:pPr>
              <w:jc w:val="center"/>
              <w:rPr>
                <w:rFonts w:ascii="Verdana" w:hAnsi="Verdana" w:cs="Arial"/>
              </w:rPr>
            </w:pPr>
            <w:r w:rsidRPr="00EB7078">
              <w:rPr>
                <w:rFonts w:ascii="Verdana" w:hAnsi="Verdana" w:cs="Open Sans"/>
                <w:b/>
              </w:rPr>
              <w:t>Materiality</w:t>
            </w:r>
          </w:p>
        </w:tc>
      </w:tr>
      <w:tr w:rsidR="00EF59D5" w14:paraId="45C35980" w14:textId="77777777" w:rsidTr="00385E24">
        <w:tc>
          <w:tcPr>
            <w:tcW w:w="4855" w:type="dxa"/>
          </w:tcPr>
          <w:p w14:paraId="067305C0" w14:textId="0E4A3CDF" w:rsidR="00EF59D5" w:rsidRPr="00793A1B" w:rsidRDefault="00C81F91" w:rsidP="00C81F91">
            <w:pPr>
              <w:rPr>
                <w:rFonts w:ascii="Verdana" w:hAnsi="Verdana" w:cs="Open Sans"/>
              </w:rPr>
            </w:pPr>
            <w:r>
              <w:rPr>
                <w:rFonts w:ascii="Verdana" w:hAnsi="Verdana" w:cs="Open Sans"/>
              </w:rPr>
              <w:t xml:space="preserve">A. </w:t>
            </w:r>
            <w:r w:rsidR="00EF59D5">
              <w:rPr>
                <w:rFonts w:ascii="Verdana" w:hAnsi="Verdana" w:cs="Open Sans"/>
              </w:rPr>
              <w:t>Revenue</w:t>
            </w:r>
          </w:p>
        </w:tc>
        <w:tc>
          <w:tcPr>
            <w:tcW w:w="1710" w:type="dxa"/>
            <w:vAlign w:val="center"/>
          </w:tcPr>
          <w:p w14:paraId="05B0541F" w14:textId="38D299D0" w:rsidR="00EF59D5" w:rsidRPr="00333E73" w:rsidRDefault="00333E73" w:rsidP="00333E73">
            <w:pPr>
              <w:jc w:val="center"/>
              <w:rPr>
                <w:rFonts w:ascii="Verdana" w:eastAsia="Times New Roman" w:hAnsi="Verdana" w:cs="Calibri"/>
                <w:color w:val="000000"/>
              </w:rPr>
            </w:pPr>
            <w:r w:rsidRPr="00333E73">
              <w:rPr>
                <w:rFonts w:ascii="Verdana" w:eastAsia="Times New Roman" w:hAnsi="Verdana" w:cs="Calibri"/>
                <w:color w:val="000000"/>
              </w:rPr>
              <w:t>86,826,344</w:t>
            </w:r>
          </w:p>
        </w:tc>
        <w:tc>
          <w:tcPr>
            <w:tcW w:w="1710" w:type="dxa"/>
            <w:vAlign w:val="center"/>
          </w:tcPr>
          <w:p w14:paraId="5897D3AC" w14:textId="31FC14FA" w:rsidR="00EF59D5" w:rsidRDefault="00333E73" w:rsidP="00333E73">
            <w:pPr>
              <w:jc w:val="center"/>
              <w:rPr>
                <w:rFonts w:ascii="Verdana" w:hAnsi="Verdana" w:cs="Arial"/>
              </w:rPr>
            </w:pPr>
            <w:r>
              <w:rPr>
                <w:rFonts w:ascii="Verdana" w:hAnsi="Verdana" w:cs="Open Sans"/>
              </w:rPr>
              <w:t>1.50</w:t>
            </w:r>
            <w:r w:rsidR="00EF59D5">
              <w:rPr>
                <w:rFonts w:ascii="Verdana" w:hAnsi="Verdana" w:cs="Open Sans"/>
              </w:rPr>
              <w:t>%</w:t>
            </w:r>
          </w:p>
        </w:tc>
        <w:tc>
          <w:tcPr>
            <w:tcW w:w="1638" w:type="dxa"/>
            <w:vAlign w:val="center"/>
          </w:tcPr>
          <w:p w14:paraId="53A03FFB" w14:textId="1C95FFCE" w:rsidR="00EF59D5" w:rsidRPr="0068625B" w:rsidRDefault="00333E73" w:rsidP="00333E73">
            <w:pPr>
              <w:jc w:val="center"/>
              <w:rPr>
                <w:rFonts w:ascii="Verdana" w:hAnsi="Verdana" w:cs="Calibri"/>
                <w:color w:val="000000"/>
              </w:rPr>
            </w:pPr>
            <w:r>
              <w:rPr>
                <w:rFonts w:ascii="Verdana" w:eastAsia="Times New Roman" w:hAnsi="Verdana" w:cs="Calibri"/>
                <w:color w:val="000000"/>
              </w:rPr>
              <w:t>1</w:t>
            </w:r>
            <w:r w:rsidR="00064129" w:rsidRPr="00064129">
              <w:rPr>
                <w:rFonts w:ascii="Verdana" w:eastAsia="Times New Roman" w:hAnsi="Verdana" w:cs="Calibri"/>
                <w:color w:val="000000"/>
              </w:rPr>
              <w:t>,</w:t>
            </w:r>
            <w:r>
              <w:rPr>
                <w:rFonts w:ascii="Verdana" w:eastAsia="Times New Roman" w:hAnsi="Verdana" w:cs="Calibri"/>
                <w:color w:val="000000"/>
              </w:rPr>
              <w:t>302</w:t>
            </w:r>
            <w:r w:rsidR="00064129" w:rsidRPr="00064129">
              <w:rPr>
                <w:rFonts w:ascii="Verdana" w:eastAsia="Times New Roman" w:hAnsi="Verdana" w:cs="Calibri"/>
                <w:color w:val="000000"/>
              </w:rPr>
              <w:t>,</w:t>
            </w:r>
            <w:r>
              <w:rPr>
                <w:rFonts w:ascii="Verdana" w:eastAsia="Times New Roman" w:hAnsi="Verdana" w:cs="Calibri"/>
                <w:color w:val="000000"/>
              </w:rPr>
              <w:t>395</w:t>
            </w:r>
          </w:p>
        </w:tc>
      </w:tr>
      <w:tr w:rsidR="00EF59D5" w14:paraId="0127B400" w14:textId="77777777" w:rsidTr="0068625B">
        <w:tc>
          <w:tcPr>
            <w:tcW w:w="4855" w:type="dxa"/>
          </w:tcPr>
          <w:p w14:paraId="724D4AC1" w14:textId="24964644" w:rsidR="00EF59D5" w:rsidRDefault="00C81F91" w:rsidP="00C81F91">
            <w:pPr>
              <w:rPr>
                <w:rFonts w:ascii="Verdana" w:hAnsi="Verdana" w:cs="Arial"/>
              </w:rPr>
            </w:pPr>
            <w:r>
              <w:rPr>
                <w:rFonts w:ascii="Verdana" w:hAnsi="Verdana" w:cs="Open Sans"/>
              </w:rPr>
              <w:t xml:space="preserve">B. </w:t>
            </w:r>
            <w:r w:rsidR="00EF59D5">
              <w:rPr>
                <w:rFonts w:ascii="Verdana" w:hAnsi="Verdana" w:cs="Open Sans"/>
              </w:rPr>
              <w:t>Materiality rounded to the nearest amount</w:t>
            </w:r>
          </w:p>
        </w:tc>
        <w:tc>
          <w:tcPr>
            <w:tcW w:w="1710" w:type="dxa"/>
          </w:tcPr>
          <w:p w14:paraId="1A39C45A" w14:textId="1F8D7FDC" w:rsidR="00EF59D5" w:rsidRPr="0068625B" w:rsidRDefault="00EF59D5" w:rsidP="0068625B">
            <w:pPr>
              <w:jc w:val="right"/>
              <w:rPr>
                <w:rFonts w:ascii="Verdana" w:hAnsi="Verdana" w:cs="Arial"/>
              </w:rPr>
            </w:pPr>
            <w:r w:rsidRPr="0068625B">
              <w:rPr>
                <w:rFonts w:ascii="Verdana" w:hAnsi="Verdana" w:cs="Arial"/>
              </w:rPr>
              <w:t>-</w:t>
            </w:r>
          </w:p>
        </w:tc>
        <w:tc>
          <w:tcPr>
            <w:tcW w:w="1710" w:type="dxa"/>
          </w:tcPr>
          <w:p w14:paraId="352E7C73" w14:textId="2FB7FA99" w:rsidR="00EF59D5" w:rsidRDefault="00EF59D5" w:rsidP="0068625B">
            <w:pPr>
              <w:jc w:val="right"/>
              <w:rPr>
                <w:rFonts w:ascii="Verdana" w:hAnsi="Verdana" w:cs="Arial"/>
              </w:rPr>
            </w:pPr>
            <w:r>
              <w:rPr>
                <w:rFonts w:ascii="Verdana" w:hAnsi="Verdana" w:cs="Arial"/>
              </w:rPr>
              <w:t>-</w:t>
            </w:r>
          </w:p>
        </w:tc>
        <w:tc>
          <w:tcPr>
            <w:tcW w:w="1638" w:type="dxa"/>
          </w:tcPr>
          <w:p w14:paraId="536913C1" w14:textId="375406DB" w:rsidR="0068625B" w:rsidRPr="0068625B" w:rsidRDefault="00333E73" w:rsidP="008722D8">
            <w:pPr>
              <w:jc w:val="center"/>
              <w:rPr>
                <w:rFonts w:ascii="Verdana" w:hAnsi="Verdana" w:cs="Calibri"/>
                <w:color w:val="000000"/>
              </w:rPr>
            </w:pPr>
            <w:r>
              <w:rPr>
                <w:rFonts w:ascii="Verdana" w:eastAsia="Times New Roman" w:hAnsi="Verdana" w:cs="Calibri"/>
                <w:color w:val="000000"/>
              </w:rPr>
              <w:t>1,302,000</w:t>
            </w:r>
          </w:p>
        </w:tc>
      </w:tr>
      <w:tr w:rsidR="00EF59D5" w14:paraId="6E20F127" w14:textId="77777777" w:rsidTr="00385E24">
        <w:tc>
          <w:tcPr>
            <w:tcW w:w="4855" w:type="dxa"/>
          </w:tcPr>
          <w:p w14:paraId="6B311227" w14:textId="1D1FDA7D" w:rsidR="00EF59D5" w:rsidRDefault="00C81F91" w:rsidP="00C81F91">
            <w:pPr>
              <w:rPr>
                <w:rFonts w:ascii="Verdana" w:hAnsi="Verdana" w:cs="Arial"/>
              </w:rPr>
            </w:pPr>
            <w:r>
              <w:rPr>
                <w:rFonts w:ascii="Verdana" w:hAnsi="Verdana" w:cs="Open Sans"/>
              </w:rPr>
              <w:t xml:space="preserve">C. </w:t>
            </w:r>
            <w:r w:rsidR="00EF59D5">
              <w:rPr>
                <w:rFonts w:ascii="Verdana" w:hAnsi="Verdana" w:cs="Open Sans"/>
              </w:rPr>
              <w:t>Performance Materiality (</w:t>
            </w:r>
            <w:r>
              <w:rPr>
                <w:rFonts w:ascii="Verdana" w:hAnsi="Verdana" w:cs="Open Sans"/>
              </w:rPr>
              <w:t>B</w:t>
            </w:r>
            <w:r w:rsidR="00EF59D5">
              <w:rPr>
                <w:rFonts w:ascii="Verdana" w:hAnsi="Verdana" w:cs="Open Sans"/>
              </w:rPr>
              <w:t xml:space="preserve"> x </w:t>
            </w:r>
            <w:r w:rsidR="008722D8">
              <w:rPr>
                <w:rFonts w:ascii="Verdana" w:hAnsi="Verdana" w:cs="Open Sans"/>
              </w:rPr>
              <w:t>75</w:t>
            </w:r>
            <w:r w:rsidR="00EF59D5">
              <w:rPr>
                <w:rFonts w:ascii="Verdana" w:hAnsi="Verdana" w:cs="Open Sans"/>
              </w:rPr>
              <w:t>%)</w:t>
            </w:r>
          </w:p>
        </w:tc>
        <w:tc>
          <w:tcPr>
            <w:tcW w:w="1710" w:type="dxa"/>
            <w:vAlign w:val="center"/>
          </w:tcPr>
          <w:p w14:paraId="54925E2D" w14:textId="1882509C" w:rsidR="00EF59D5" w:rsidRPr="0068625B" w:rsidRDefault="00EF59D5" w:rsidP="00385E24">
            <w:pPr>
              <w:jc w:val="right"/>
              <w:rPr>
                <w:rFonts w:ascii="Verdana" w:hAnsi="Verdana" w:cs="Arial"/>
              </w:rPr>
            </w:pPr>
            <w:r w:rsidRPr="0068625B">
              <w:rPr>
                <w:rFonts w:ascii="Verdana" w:hAnsi="Verdana" w:cs="Open Sans"/>
              </w:rPr>
              <w:t>-</w:t>
            </w:r>
          </w:p>
        </w:tc>
        <w:tc>
          <w:tcPr>
            <w:tcW w:w="1710" w:type="dxa"/>
            <w:vAlign w:val="center"/>
          </w:tcPr>
          <w:p w14:paraId="0E33BB0B" w14:textId="5A5B3588" w:rsidR="00EF59D5" w:rsidRDefault="00EF59D5" w:rsidP="00385E24">
            <w:pPr>
              <w:jc w:val="right"/>
              <w:rPr>
                <w:rFonts w:ascii="Verdana" w:hAnsi="Verdana" w:cs="Arial"/>
              </w:rPr>
            </w:pPr>
            <w:r>
              <w:rPr>
                <w:rFonts w:ascii="Verdana" w:hAnsi="Verdana" w:cs="Open Sans"/>
              </w:rPr>
              <w:t>-</w:t>
            </w:r>
          </w:p>
        </w:tc>
        <w:tc>
          <w:tcPr>
            <w:tcW w:w="1638" w:type="dxa"/>
            <w:vAlign w:val="center"/>
          </w:tcPr>
          <w:p w14:paraId="719B4E8A" w14:textId="647B72C4" w:rsidR="00EF59D5" w:rsidRPr="0068625B" w:rsidRDefault="008722D8" w:rsidP="008722D8">
            <w:pPr>
              <w:jc w:val="center"/>
              <w:rPr>
                <w:rFonts w:ascii="Verdana" w:hAnsi="Verdana" w:cs="Calibri"/>
                <w:color w:val="000000"/>
              </w:rPr>
            </w:pPr>
            <w:r>
              <w:rPr>
                <w:rFonts w:ascii="Verdana" w:eastAsia="Times New Roman" w:hAnsi="Verdana" w:cs="Calibri"/>
                <w:color w:val="000000"/>
              </w:rPr>
              <w:t>976,500</w:t>
            </w:r>
          </w:p>
        </w:tc>
      </w:tr>
      <w:tr w:rsidR="00BA3DB2" w14:paraId="481135B0" w14:textId="77777777" w:rsidTr="00385E24">
        <w:tc>
          <w:tcPr>
            <w:tcW w:w="4855" w:type="dxa"/>
          </w:tcPr>
          <w:p w14:paraId="5413F994" w14:textId="3BC1EA3A" w:rsidR="00BA3DB2" w:rsidRDefault="00C81F91" w:rsidP="00C81F91">
            <w:pPr>
              <w:rPr>
                <w:rFonts w:ascii="Verdana" w:hAnsi="Verdana" w:cs="Open Sans"/>
              </w:rPr>
            </w:pPr>
            <w:r>
              <w:rPr>
                <w:rFonts w:ascii="Verdana" w:hAnsi="Verdana" w:cs="Open Sans"/>
              </w:rPr>
              <w:t xml:space="preserve">D. </w:t>
            </w:r>
            <w:r w:rsidR="00BA3DB2">
              <w:rPr>
                <w:rFonts w:ascii="Verdana" w:hAnsi="Verdana" w:cs="Open Sans"/>
              </w:rPr>
              <w:t>Clearly Trivial Threshold (</w:t>
            </w:r>
            <w:r>
              <w:rPr>
                <w:rFonts w:ascii="Verdana" w:hAnsi="Verdana" w:cs="Open Sans"/>
              </w:rPr>
              <w:t>B</w:t>
            </w:r>
            <w:r w:rsidR="00BA3DB2">
              <w:rPr>
                <w:rFonts w:ascii="Verdana" w:hAnsi="Verdana" w:cs="Open Sans"/>
              </w:rPr>
              <w:t xml:space="preserve"> </w:t>
            </w:r>
            <w:r w:rsidR="00BA3DB2" w:rsidRPr="00132DB3">
              <w:rPr>
                <w:rFonts w:ascii="Verdana" w:hAnsi="Verdana" w:cs="Open Sans"/>
              </w:rPr>
              <w:t>x 5%)</w:t>
            </w:r>
          </w:p>
        </w:tc>
        <w:tc>
          <w:tcPr>
            <w:tcW w:w="1710" w:type="dxa"/>
            <w:vAlign w:val="center"/>
          </w:tcPr>
          <w:p w14:paraId="1D5A83A6" w14:textId="51F04F56" w:rsidR="00BA3DB2" w:rsidRDefault="00BA3DB2" w:rsidP="00385E24">
            <w:pPr>
              <w:jc w:val="right"/>
              <w:rPr>
                <w:rFonts w:ascii="Verdana" w:hAnsi="Verdana" w:cs="Open Sans"/>
              </w:rPr>
            </w:pPr>
            <w:r>
              <w:rPr>
                <w:rFonts w:ascii="Verdana" w:hAnsi="Verdana" w:cs="Open Sans"/>
              </w:rPr>
              <w:t>-</w:t>
            </w:r>
          </w:p>
        </w:tc>
        <w:tc>
          <w:tcPr>
            <w:tcW w:w="1710" w:type="dxa"/>
            <w:vAlign w:val="center"/>
          </w:tcPr>
          <w:p w14:paraId="34794BD3" w14:textId="0D019D20" w:rsidR="00BA3DB2" w:rsidRDefault="00BA3DB2" w:rsidP="00385E24">
            <w:pPr>
              <w:jc w:val="right"/>
              <w:rPr>
                <w:rFonts w:ascii="Verdana" w:hAnsi="Verdana" w:cs="Open Sans"/>
              </w:rPr>
            </w:pPr>
            <w:r>
              <w:rPr>
                <w:rFonts w:ascii="Verdana" w:hAnsi="Verdana" w:cs="Open Sans"/>
              </w:rPr>
              <w:t>-</w:t>
            </w:r>
          </w:p>
        </w:tc>
        <w:tc>
          <w:tcPr>
            <w:tcW w:w="1638" w:type="dxa"/>
            <w:vAlign w:val="center"/>
          </w:tcPr>
          <w:p w14:paraId="2C5EB34C" w14:textId="140EFAFC" w:rsidR="00BA3DB2" w:rsidRPr="0068625B" w:rsidRDefault="008722D8" w:rsidP="008722D8">
            <w:pPr>
              <w:jc w:val="center"/>
              <w:rPr>
                <w:rFonts w:ascii="Verdana" w:hAnsi="Verdana" w:cs="Calibri"/>
                <w:color w:val="000000"/>
              </w:rPr>
            </w:pPr>
            <w:r>
              <w:rPr>
                <w:rFonts w:ascii="Verdana" w:eastAsia="Times New Roman" w:hAnsi="Verdana" w:cs="Calibri"/>
                <w:color w:val="000000"/>
              </w:rPr>
              <w:t>65,000</w:t>
            </w:r>
          </w:p>
        </w:tc>
      </w:tr>
    </w:tbl>
    <w:p w14:paraId="1B8654BE" w14:textId="07C84C72" w:rsidR="00085BDC" w:rsidRDefault="00085BDC" w:rsidP="008B6A95">
      <w:pPr>
        <w:rPr>
          <w:rFonts w:ascii="Verdana" w:hAnsi="Verdana" w:cs="Arial"/>
        </w:rPr>
      </w:pPr>
    </w:p>
    <w:p w14:paraId="39AEDDAD" w14:textId="2E7CE988" w:rsidR="00F4034E" w:rsidRDefault="00F4034E" w:rsidP="008B6A95">
      <w:pPr>
        <w:rPr>
          <w:rFonts w:ascii="Verdana" w:hAnsi="Verdana" w:cs="Arial"/>
        </w:rPr>
      </w:pPr>
      <w:r w:rsidRPr="003E5FC4">
        <w:rPr>
          <w:rFonts w:ascii="Verdana" w:hAnsi="Verdana" w:cs="Arial"/>
          <w:b/>
          <w:bCs/>
        </w:rPr>
        <w:t>Conclusion:</w:t>
      </w:r>
      <w:r w:rsidRPr="00F4034E">
        <w:rPr>
          <w:rFonts w:ascii="Verdana" w:hAnsi="Verdana" w:cs="Arial"/>
        </w:rPr>
        <w:t xml:space="preserve"> Based on the above analysis, we have determined materiality and concluded that the use of lower side percentage of materiality calculation did not carry significant risk of undetected or uncorrected misstatements of the financial statements.</w:t>
      </w:r>
    </w:p>
    <w:p w14:paraId="7FE4C6CE" w14:textId="77777777" w:rsidR="00F4034E" w:rsidRDefault="00F4034E" w:rsidP="008B6A95">
      <w:pPr>
        <w:rPr>
          <w:rFonts w:ascii="Verdana" w:hAnsi="Verdana" w:cs="Arial"/>
        </w:rPr>
      </w:pPr>
    </w:p>
    <w:p w14:paraId="4842102C" w14:textId="21EB230F" w:rsidR="00085BDC" w:rsidRDefault="00085BDC" w:rsidP="00085BDC">
      <w:pPr>
        <w:jc w:val="center"/>
        <w:rPr>
          <w:rFonts w:ascii="Verdana" w:hAnsi="Verdana" w:cs="Arial"/>
        </w:rPr>
      </w:pPr>
      <w:r>
        <w:rPr>
          <w:rFonts w:ascii="Verdana" w:hAnsi="Verdana" w:cs="Arial"/>
        </w:rPr>
        <w:t>&lt;END of WP&gt;</w:t>
      </w:r>
    </w:p>
    <w:p w14:paraId="54ACC832" w14:textId="03890687" w:rsidR="00064129" w:rsidRDefault="00064129" w:rsidP="00064129">
      <w:pPr>
        <w:rPr>
          <w:rFonts w:ascii="Verdana" w:hAnsi="Verdana" w:cs="Arial"/>
        </w:rPr>
      </w:pPr>
    </w:p>
    <w:p w14:paraId="12E9969C" w14:textId="0B7274A6" w:rsidR="00064129" w:rsidRPr="00064129" w:rsidRDefault="00064129" w:rsidP="00064129">
      <w:pPr>
        <w:spacing w:after="0" w:line="240" w:lineRule="auto"/>
        <w:jc w:val="center"/>
        <w:rPr>
          <w:rFonts w:ascii="Verdana" w:eastAsia="Times New Roman" w:hAnsi="Verdana" w:cs="Calibri"/>
          <w:color w:val="000000"/>
        </w:rPr>
      </w:pPr>
      <w:r w:rsidRPr="00064129">
        <w:rPr>
          <w:rFonts w:ascii="Verdana" w:eastAsia="Times New Roman" w:hAnsi="Verdana" w:cs="Calibri"/>
          <w:color w:val="000000"/>
        </w:rPr>
        <w:t xml:space="preserve">       </w:t>
      </w:r>
    </w:p>
    <w:p w14:paraId="7D86A598" w14:textId="3158685A" w:rsidR="00064129" w:rsidRPr="00064129" w:rsidRDefault="00064129" w:rsidP="00064129">
      <w:pPr>
        <w:spacing w:after="0" w:line="240" w:lineRule="auto"/>
        <w:jc w:val="center"/>
        <w:rPr>
          <w:rFonts w:ascii="Verdana" w:eastAsia="Times New Roman" w:hAnsi="Verdana" w:cs="Calibri"/>
          <w:color w:val="000000"/>
        </w:rPr>
      </w:pPr>
      <w:r w:rsidRPr="00064129">
        <w:rPr>
          <w:rFonts w:ascii="Verdana" w:eastAsia="Times New Roman" w:hAnsi="Verdana" w:cs="Calibri"/>
          <w:color w:val="000000"/>
        </w:rPr>
        <w:t xml:space="preserve">                        </w:t>
      </w:r>
    </w:p>
    <w:p w14:paraId="532B9762" w14:textId="2E5CFDE8" w:rsidR="00064129" w:rsidRPr="00064129" w:rsidRDefault="00064129" w:rsidP="00064129">
      <w:pPr>
        <w:spacing w:after="0" w:line="240" w:lineRule="auto"/>
        <w:jc w:val="center"/>
        <w:rPr>
          <w:rFonts w:ascii="Verdana" w:eastAsia="Times New Roman" w:hAnsi="Verdana" w:cs="Calibri"/>
          <w:color w:val="000000"/>
        </w:rPr>
      </w:pPr>
      <w:r w:rsidRPr="00064129">
        <w:rPr>
          <w:rFonts w:ascii="Calibri" w:eastAsia="Times New Roman" w:hAnsi="Calibri" w:cs="Calibri"/>
          <w:color w:val="000000"/>
        </w:rPr>
        <w:t xml:space="preserve">               </w:t>
      </w:r>
    </w:p>
    <w:p w14:paraId="57B5D152" w14:textId="67D74062" w:rsidR="00064129" w:rsidRPr="00064129" w:rsidRDefault="00064129" w:rsidP="00064129">
      <w:pPr>
        <w:spacing w:after="0" w:line="240" w:lineRule="auto"/>
        <w:jc w:val="center"/>
        <w:rPr>
          <w:rFonts w:ascii="Verdana" w:eastAsia="Times New Roman" w:hAnsi="Verdana" w:cs="Calibri"/>
          <w:color w:val="000000"/>
        </w:rPr>
      </w:pPr>
    </w:p>
    <w:p w14:paraId="3ACC0CC9" w14:textId="77777777" w:rsidR="00064129" w:rsidRPr="00064129" w:rsidRDefault="00064129" w:rsidP="00064129">
      <w:pPr>
        <w:jc w:val="center"/>
        <w:rPr>
          <w:rFonts w:ascii="Verdana" w:hAnsi="Verdana" w:cs="Arial"/>
        </w:rPr>
      </w:pPr>
    </w:p>
    <w:sectPr w:rsidR="00064129" w:rsidRPr="00064129" w:rsidSect="00083B51">
      <w:headerReference w:type="default" r:id="rId8"/>
      <w:footerReference w:type="default" r:id="rId9"/>
      <w:pgSz w:w="11909" w:h="16834" w:code="9"/>
      <w:pgMar w:top="630" w:right="852" w:bottom="936"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0AE1A" w14:textId="77777777" w:rsidR="00E47EEC" w:rsidRDefault="00E47EEC" w:rsidP="00B509D8">
      <w:pPr>
        <w:spacing w:after="0" w:line="240" w:lineRule="auto"/>
      </w:pPr>
      <w:r>
        <w:separator/>
      </w:r>
    </w:p>
  </w:endnote>
  <w:endnote w:type="continuationSeparator" w:id="0">
    <w:p w14:paraId="5C0A1E59" w14:textId="77777777" w:rsidR="00E47EEC" w:rsidRDefault="00E47EEC" w:rsidP="00B5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973328488"/>
      <w:docPartObj>
        <w:docPartGallery w:val="Page Numbers (Bottom of Page)"/>
        <w:docPartUnique/>
      </w:docPartObj>
    </w:sdtPr>
    <w:sdtEndPr>
      <w:rPr>
        <w:noProof/>
      </w:rPr>
    </w:sdtEndPr>
    <w:sdtContent>
      <w:p w14:paraId="16AA2CCE" w14:textId="57EF2A43" w:rsidR="00806DC0" w:rsidRPr="00806DC0" w:rsidRDefault="00806DC0" w:rsidP="00806DC0">
        <w:pPr>
          <w:pStyle w:val="Footer"/>
          <w:jc w:val="center"/>
          <w:rPr>
            <w:rFonts w:ascii="Verdana" w:hAnsi="Verdana"/>
          </w:rPr>
        </w:pPr>
        <w:r w:rsidRPr="00806DC0">
          <w:rPr>
            <w:rFonts w:ascii="Verdana" w:hAnsi="Verdana"/>
          </w:rPr>
          <w:fldChar w:fldCharType="begin"/>
        </w:r>
        <w:r w:rsidRPr="00806DC0">
          <w:rPr>
            <w:rFonts w:ascii="Verdana" w:hAnsi="Verdana"/>
          </w:rPr>
          <w:instrText xml:space="preserve"> PAGE   \* MERGEFORMAT </w:instrText>
        </w:r>
        <w:r w:rsidRPr="00806DC0">
          <w:rPr>
            <w:rFonts w:ascii="Verdana" w:hAnsi="Verdana"/>
          </w:rPr>
          <w:fldChar w:fldCharType="separate"/>
        </w:r>
        <w:r w:rsidR="00B77AB7">
          <w:rPr>
            <w:rFonts w:ascii="Verdana" w:hAnsi="Verdana"/>
            <w:noProof/>
          </w:rPr>
          <w:t>1</w:t>
        </w:r>
        <w:r w:rsidRPr="00806DC0">
          <w:rPr>
            <w:rFonts w:ascii="Verdana" w:hAnsi="Verdana"/>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F1554" w14:textId="77777777" w:rsidR="00E47EEC" w:rsidRDefault="00E47EEC" w:rsidP="00B509D8">
      <w:pPr>
        <w:spacing w:after="0" w:line="240" w:lineRule="auto"/>
      </w:pPr>
      <w:r>
        <w:separator/>
      </w:r>
    </w:p>
  </w:footnote>
  <w:footnote w:type="continuationSeparator" w:id="0">
    <w:p w14:paraId="1EDDC803" w14:textId="77777777" w:rsidR="00E47EEC" w:rsidRDefault="00E47EEC" w:rsidP="00B50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E8A7" w14:textId="2D62B073" w:rsidR="00426D0D" w:rsidRPr="00806DC0" w:rsidRDefault="00881746" w:rsidP="00C74FF5">
    <w:pPr>
      <w:spacing w:after="0"/>
      <w:ind w:left="-142" w:right="-157"/>
      <w:rPr>
        <w:rFonts w:ascii="Verdana" w:hAnsi="Verdana"/>
        <w:sz w:val="20"/>
      </w:rPr>
    </w:pP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bookmarkStart w:id="1" w:name="_Hlk90277148"/>
    <w:r>
      <w:rPr>
        <w:rFonts w:ascii="Trebuchet MS" w:hAnsi="Trebuchet MS"/>
        <w:sz w:val="20"/>
      </w:rPr>
      <w:t xml:space="preserve">  </w:t>
    </w:r>
    <w:r w:rsidR="00426D0D" w:rsidRPr="00806DC0">
      <w:rPr>
        <w:rFonts w:ascii="Verdana" w:hAnsi="Verdana"/>
        <w:sz w:val="20"/>
      </w:rPr>
      <w:t>Nurul Faruk Hasan &amp; Co</w:t>
    </w:r>
  </w:p>
  <w:p w14:paraId="67842D86" w14:textId="5AD9DEFD" w:rsidR="00426D0D" w:rsidRDefault="00426D0D" w:rsidP="00C74FF5">
    <w:pPr>
      <w:pStyle w:val="Header"/>
      <w:tabs>
        <w:tab w:val="clear" w:pos="4513"/>
        <w:tab w:val="clear" w:pos="9026"/>
      </w:tabs>
      <w:ind w:right="-157"/>
      <w:rPr>
        <w:rFonts w:ascii="Verdana" w:hAnsi="Verdana"/>
        <w:sz w:val="20"/>
      </w:rPr>
    </w:pPr>
    <w:r w:rsidRPr="00806DC0">
      <w:rPr>
        <w:rFonts w:ascii="Verdana" w:hAnsi="Verdana"/>
        <w:sz w:val="20"/>
      </w:rPr>
      <w:tab/>
    </w:r>
    <w:r w:rsidRPr="00806DC0">
      <w:rPr>
        <w:rFonts w:ascii="Verdana" w:hAnsi="Verdana"/>
        <w:sz w:val="20"/>
      </w:rPr>
      <w:tab/>
    </w:r>
    <w:r w:rsidR="00806DC0" w:rsidRPr="00806DC0">
      <w:rPr>
        <w:rFonts w:ascii="Verdana" w:hAnsi="Verdana"/>
        <w:sz w:val="20"/>
      </w:rPr>
      <w:t xml:space="preserve">        </w:t>
    </w:r>
    <w:r w:rsidR="00806DC0" w:rsidRPr="00806DC0">
      <w:rPr>
        <w:rFonts w:ascii="Verdana" w:hAnsi="Verdana"/>
        <w:sz w:val="20"/>
      </w:rPr>
      <w:tab/>
    </w:r>
    <w:r w:rsidR="00806DC0" w:rsidRPr="00806DC0">
      <w:rPr>
        <w:rFonts w:ascii="Verdana" w:hAnsi="Verdana"/>
        <w:sz w:val="20"/>
      </w:rPr>
      <w:tab/>
    </w:r>
    <w:r w:rsidR="00806DC0" w:rsidRPr="00806DC0">
      <w:rPr>
        <w:rFonts w:ascii="Verdana" w:hAnsi="Verdana"/>
        <w:sz w:val="20"/>
      </w:rPr>
      <w:tab/>
    </w:r>
    <w:r w:rsidR="00806DC0" w:rsidRPr="00806DC0">
      <w:rPr>
        <w:rFonts w:ascii="Verdana" w:hAnsi="Verdana"/>
        <w:sz w:val="20"/>
      </w:rPr>
      <w:tab/>
    </w:r>
    <w:r w:rsidR="00806DC0" w:rsidRPr="00806DC0">
      <w:rPr>
        <w:rFonts w:ascii="Verdana" w:hAnsi="Verdana"/>
        <w:sz w:val="20"/>
      </w:rPr>
      <w:tab/>
    </w:r>
    <w:r w:rsidR="00806DC0" w:rsidRPr="00806DC0">
      <w:rPr>
        <w:rFonts w:ascii="Verdana" w:hAnsi="Verdana"/>
        <w:sz w:val="20"/>
      </w:rPr>
      <w:tab/>
    </w:r>
    <w:r w:rsidR="00806DC0" w:rsidRPr="00806DC0">
      <w:rPr>
        <w:rFonts w:ascii="Verdana" w:hAnsi="Verdana"/>
        <w:sz w:val="20"/>
      </w:rPr>
      <w:tab/>
      <w:t xml:space="preserve">     </w:t>
    </w:r>
    <w:r w:rsidR="00881746">
      <w:rPr>
        <w:rFonts w:ascii="Verdana" w:hAnsi="Verdana"/>
        <w:sz w:val="20"/>
      </w:rPr>
      <w:t xml:space="preserve">    </w:t>
    </w:r>
    <w:r w:rsidR="00806DC0" w:rsidRPr="00806DC0">
      <w:rPr>
        <w:rFonts w:ascii="Verdana" w:hAnsi="Verdana"/>
        <w:sz w:val="30"/>
      </w:rPr>
      <w:t xml:space="preserve"> </w:t>
    </w:r>
    <w:r w:rsidR="00806DC0" w:rsidRPr="00806DC0">
      <w:rPr>
        <w:rFonts w:ascii="Verdana" w:hAnsi="Verdana"/>
        <w:sz w:val="24"/>
      </w:rPr>
      <w:t xml:space="preserve"> </w:t>
    </w:r>
    <w:r w:rsidRPr="00806DC0">
      <w:rPr>
        <w:rFonts w:ascii="Verdana" w:hAnsi="Verdana"/>
        <w:sz w:val="20"/>
      </w:rPr>
      <w:t>Chartered Accountants</w:t>
    </w:r>
  </w:p>
  <w:bookmarkEnd w:id="1"/>
  <w:p w14:paraId="5296BA1E" w14:textId="1F10A43A" w:rsidR="00881746" w:rsidRPr="00806DC0" w:rsidRDefault="00881746" w:rsidP="00806DC0">
    <w:pPr>
      <w:pStyle w:val="Header"/>
      <w:tabs>
        <w:tab w:val="clear" w:pos="4513"/>
        <w:tab w:val="clear" w:pos="9026"/>
      </w:tabs>
      <w:ind w:right="-90"/>
      <w:rPr>
        <w:rFonts w:ascii="Verdana" w:hAnsi="Verdana"/>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37B"/>
    <w:multiLevelType w:val="hybridMultilevel"/>
    <w:tmpl w:val="35F698FA"/>
    <w:lvl w:ilvl="0" w:tplc="E50ED96A">
      <w:start w:val="1"/>
      <w:numFmt w:val="decimal"/>
      <w:lvlText w:val="%1."/>
      <w:lvlJc w:val="left"/>
      <w:pPr>
        <w:ind w:left="270" w:hanging="360"/>
      </w:pPr>
      <w:rPr>
        <w:rFonts w:hint="default"/>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1" w15:restartNumberingAfterBreak="0">
    <w:nsid w:val="060B7658"/>
    <w:multiLevelType w:val="hybridMultilevel"/>
    <w:tmpl w:val="7AEAD192"/>
    <w:lvl w:ilvl="0" w:tplc="C376FA6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EB901A1"/>
    <w:multiLevelType w:val="hybridMultilevel"/>
    <w:tmpl w:val="3CDC1D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7708D"/>
    <w:multiLevelType w:val="hybridMultilevel"/>
    <w:tmpl w:val="B3B6F758"/>
    <w:lvl w:ilvl="0" w:tplc="F4644B56">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 w15:restartNumberingAfterBreak="0">
    <w:nsid w:val="1BB772E8"/>
    <w:multiLevelType w:val="hybridMultilevel"/>
    <w:tmpl w:val="690A11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757732"/>
    <w:multiLevelType w:val="hybridMultilevel"/>
    <w:tmpl w:val="97DC5E3E"/>
    <w:lvl w:ilvl="0" w:tplc="2E46BD32">
      <w:start w:val="1"/>
      <w:numFmt w:val="decimal"/>
      <w:lvlText w:val="%1."/>
      <w:lvlJc w:val="left"/>
      <w:pPr>
        <w:ind w:left="270" w:hanging="360"/>
      </w:pPr>
      <w:rPr>
        <w:rFonts w:hint="default"/>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6" w15:restartNumberingAfterBreak="0">
    <w:nsid w:val="27924E33"/>
    <w:multiLevelType w:val="hybridMultilevel"/>
    <w:tmpl w:val="9348B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B640E"/>
    <w:multiLevelType w:val="hybridMultilevel"/>
    <w:tmpl w:val="2E0E2322"/>
    <w:lvl w:ilvl="0" w:tplc="DAEC40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7C0915"/>
    <w:multiLevelType w:val="hybridMultilevel"/>
    <w:tmpl w:val="5412C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002984"/>
    <w:multiLevelType w:val="hybridMultilevel"/>
    <w:tmpl w:val="9B0E1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EE2A5D"/>
    <w:multiLevelType w:val="hybridMultilevel"/>
    <w:tmpl w:val="F176C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C4B73"/>
    <w:multiLevelType w:val="hybridMultilevel"/>
    <w:tmpl w:val="615A5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23A33"/>
    <w:multiLevelType w:val="hybridMultilevel"/>
    <w:tmpl w:val="FACE5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B23C3"/>
    <w:multiLevelType w:val="hybridMultilevel"/>
    <w:tmpl w:val="8B388398"/>
    <w:lvl w:ilvl="0" w:tplc="2580F2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76719AC"/>
    <w:multiLevelType w:val="hybridMultilevel"/>
    <w:tmpl w:val="1ECCF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77F91"/>
    <w:multiLevelType w:val="hybridMultilevel"/>
    <w:tmpl w:val="78E69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51496"/>
    <w:multiLevelType w:val="hybridMultilevel"/>
    <w:tmpl w:val="24F8C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203B6C"/>
    <w:multiLevelType w:val="hybridMultilevel"/>
    <w:tmpl w:val="DFD8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54C54"/>
    <w:multiLevelType w:val="hybridMultilevel"/>
    <w:tmpl w:val="AD1232F2"/>
    <w:lvl w:ilvl="0" w:tplc="4656CA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0C21815"/>
    <w:multiLevelType w:val="hybridMultilevel"/>
    <w:tmpl w:val="C792A766"/>
    <w:lvl w:ilvl="0" w:tplc="8972686A">
      <w:start w:val="1"/>
      <w:numFmt w:val="decimal"/>
      <w:lvlText w:val="%1."/>
      <w:lvlJc w:val="left"/>
      <w:pPr>
        <w:ind w:left="270" w:hanging="360"/>
      </w:pPr>
      <w:rPr>
        <w:rFonts w:hint="default"/>
        <w:b/>
        <w:color w:val="auto"/>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20" w15:restartNumberingAfterBreak="0">
    <w:nsid w:val="40CF7B88"/>
    <w:multiLevelType w:val="hybridMultilevel"/>
    <w:tmpl w:val="C164B8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44CC1BF8"/>
    <w:multiLevelType w:val="hybridMultilevel"/>
    <w:tmpl w:val="8014E7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2" w15:restartNumberingAfterBreak="0">
    <w:nsid w:val="45AA60AA"/>
    <w:multiLevelType w:val="hybridMultilevel"/>
    <w:tmpl w:val="7D4A0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D45965"/>
    <w:multiLevelType w:val="hybridMultilevel"/>
    <w:tmpl w:val="AC862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FA263F"/>
    <w:multiLevelType w:val="hybridMultilevel"/>
    <w:tmpl w:val="507E5F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8D2577"/>
    <w:multiLevelType w:val="hybridMultilevel"/>
    <w:tmpl w:val="1F882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B131CC"/>
    <w:multiLevelType w:val="hybridMultilevel"/>
    <w:tmpl w:val="ECD2E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B72175"/>
    <w:multiLevelType w:val="hybridMultilevel"/>
    <w:tmpl w:val="B3B6F758"/>
    <w:lvl w:ilvl="0" w:tplc="F4644B56">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8" w15:restartNumberingAfterBreak="0">
    <w:nsid w:val="77486537"/>
    <w:multiLevelType w:val="hybridMultilevel"/>
    <w:tmpl w:val="81B6B3F8"/>
    <w:lvl w:ilvl="0" w:tplc="43F0E1F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AA74C2"/>
    <w:multiLevelType w:val="hybridMultilevel"/>
    <w:tmpl w:val="393E7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610EE7"/>
    <w:multiLevelType w:val="hybridMultilevel"/>
    <w:tmpl w:val="3D02D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20"/>
  </w:num>
  <w:num w:numId="4">
    <w:abstractNumId w:val="6"/>
  </w:num>
  <w:num w:numId="5">
    <w:abstractNumId w:val="25"/>
  </w:num>
  <w:num w:numId="6">
    <w:abstractNumId w:val="17"/>
  </w:num>
  <w:num w:numId="7">
    <w:abstractNumId w:val="3"/>
  </w:num>
  <w:num w:numId="8">
    <w:abstractNumId w:val="1"/>
  </w:num>
  <w:num w:numId="9">
    <w:abstractNumId w:val="30"/>
  </w:num>
  <w:num w:numId="10">
    <w:abstractNumId w:val="27"/>
  </w:num>
  <w:num w:numId="11">
    <w:abstractNumId w:val="21"/>
  </w:num>
  <w:num w:numId="12">
    <w:abstractNumId w:val="11"/>
  </w:num>
  <w:num w:numId="13">
    <w:abstractNumId w:val="12"/>
  </w:num>
  <w:num w:numId="14">
    <w:abstractNumId w:val="15"/>
  </w:num>
  <w:num w:numId="15">
    <w:abstractNumId w:val="7"/>
  </w:num>
  <w:num w:numId="16">
    <w:abstractNumId w:val="28"/>
  </w:num>
  <w:num w:numId="17">
    <w:abstractNumId w:val="8"/>
  </w:num>
  <w:num w:numId="18">
    <w:abstractNumId w:val="13"/>
  </w:num>
  <w:num w:numId="19">
    <w:abstractNumId w:val="16"/>
  </w:num>
  <w:num w:numId="20">
    <w:abstractNumId w:val="23"/>
  </w:num>
  <w:num w:numId="21">
    <w:abstractNumId w:val="9"/>
  </w:num>
  <w:num w:numId="22">
    <w:abstractNumId w:val="5"/>
  </w:num>
  <w:num w:numId="23">
    <w:abstractNumId w:val="26"/>
  </w:num>
  <w:num w:numId="24">
    <w:abstractNumId w:val="19"/>
  </w:num>
  <w:num w:numId="25">
    <w:abstractNumId w:val="4"/>
  </w:num>
  <w:num w:numId="26">
    <w:abstractNumId w:val="24"/>
  </w:num>
  <w:num w:numId="27">
    <w:abstractNumId w:val="18"/>
  </w:num>
  <w:num w:numId="28">
    <w:abstractNumId w:val="0"/>
  </w:num>
  <w:num w:numId="29">
    <w:abstractNumId w:val="22"/>
  </w:num>
  <w:num w:numId="30">
    <w:abstractNumId w:val="2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3DF"/>
    <w:rsid w:val="00004358"/>
    <w:rsid w:val="000049A0"/>
    <w:rsid w:val="00006868"/>
    <w:rsid w:val="000077E8"/>
    <w:rsid w:val="00011BFC"/>
    <w:rsid w:val="0001232B"/>
    <w:rsid w:val="000131AF"/>
    <w:rsid w:val="000172D4"/>
    <w:rsid w:val="000204BC"/>
    <w:rsid w:val="0002320E"/>
    <w:rsid w:val="000365D4"/>
    <w:rsid w:val="00040687"/>
    <w:rsid w:val="000527F0"/>
    <w:rsid w:val="00062446"/>
    <w:rsid w:val="00064129"/>
    <w:rsid w:val="00067704"/>
    <w:rsid w:val="00080819"/>
    <w:rsid w:val="00083B51"/>
    <w:rsid w:val="0008436A"/>
    <w:rsid w:val="00085BDC"/>
    <w:rsid w:val="00085D00"/>
    <w:rsid w:val="00085E0E"/>
    <w:rsid w:val="00094157"/>
    <w:rsid w:val="00097F7B"/>
    <w:rsid w:val="000A54DF"/>
    <w:rsid w:val="000A71AC"/>
    <w:rsid w:val="000A751B"/>
    <w:rsid w:val="000B1AEF"/>
    <w:rsid w:val="000B212C"/>
    <w:rsid w:val="000B3643"/>
    <w:rsid w:val="000B4CDF"/>
    <w:rsid w:val="000B52FA"/>
    <w:rsid w:val="000C3CD9"/>
    <w:rsid w:val="000C466B"/>
    <w:rsid w:val="000C4EDE"/>
    <w:rsid w:val="000C63CB"/>
    <w:rsid w:val="000D3ED5"/>
    <w:rsid w:val="000D5B08"/>
    <w:rsid w:val="000E3D0B"/>
    <w:rsid w:val="000E707C"/>
    <w:rsid w:val="000F0F7D"/>
    <w:rsid w:val="000F4819"/>
    <w:rsid w:val="000F6A62"/>
    <w:rsid w:val="00100683"/>
    <w:rsid w:val="0010097F"/>
    <w:rsid w:val="0010466E"/>
    <w:rsid w:val="001057BE"/>
    <w:rsid w:val="00111672"/>
    <w:rsid w:val="00113099"/>
    <w:rsid w:val="00116277"/>
    <w:rsid w:val="001273A8"/>
    <w:rsid w:val="00135FC9"/>
    <w:rsid w:val="00154E55"/>
    <w:rsid w:val="00164170"/>
    <w:rsid w:val="00167C7C"/>
    <w:rsid w:val="00173D0F"/>
    <w:rsid w:val="00175D82"/>
    <w:rsid w:val="001771CE"/>
    <w:rsid w:val="001851B4"/>
    <w:rsid w:val="00186D36"/>
    <w:rsid w:val="001927BF"/>
    <w:rsid w:val="00192826"/>
    <w:rsid w:val="001A17C0"/>
    <w:rsid w:val="001B1415"/>
    <w:rsid w:val="001C3239"/>
    <w:rsid w:val="001C35DD"/>
    <w:rsid w:val="001C559A"/>
    <w:rsid w:val="001C7B1E"/>
    <w:rsid w:val="001D37F5"/>
    <w:rsid w:val="001D6BA2"/>
    <w:rsid w:val="001D6BD9"/>
    <w:rsid w:val="001D7DE4"/>
    <w:rsid w:val="001E3439"/>
    <w:rsid w:val="001E43D6"/>
    <w:rsid w:val="001E707A"/>
    <w:rsid w:val="001E7A4D"/>
    <w:rsid w:val="00200DA9"/>
    <w:rsid w:val="002028B6"/>
    <w:rsid w:val="00210016"/>
    <w:rsid w:val="0021057E"/>
    <w:rsid w:val="00212CA8"/>
    <w:rsid w:val="00214151"/>
    <w:rsid w:val="00214B4C"/>
    <w:rsid w:val="00220B77"/>
    <w:rsid w:val="00224B82"/>
    <w:rsid w:val="00230B5A"/>
    <w:rsid w:val="0023673C"/>
    <w:rsid w:val="0023714E"/>
    <w:rsid w:val="0024056D"/>
    <w:rsid w:val="002424D4"/>
    <w:rsid w:val="00247801"/>
    <w:rsid w:val="00250781"/>
    <w:rsid w:val="00250DCF"/>
    <w:rsid w:val="00253E8F"/>
    <w:rsid w:val="002602BC"/>
    <w:rsid w:val="0026206E"/>
    <w:rsid w:val="00266B3C"/>
    <w:rsid w:val="00274614"/>
    <w:rsid w:val="00275A9C"/>
    <w:rsid w:val="00276A8C"/>
    <w:rsid w:val="002856B7"/>
    <w:rsid w:val="00285D32"/>
    <w:rsid w:val="00290B3D"/>
    <w:rsid w:val="00290CE5"/>
    <w:rsid w:val="00296FD7"/>
    <w:rsid w:val="002A0556"/>
    <w:rsid w:val="002A0B28"/>
    <w:rsid w:val="002A352B"/>
    <w:rsid w:val="002C15C1"/>
    <w:rsid w:val="002C42A3"/>
    <w:rsid w:val="002C4D35"/>
    <w:rsid w:val="002D27C6"/>
    <w:rsid w:val="002E72F9"/>
    <w:rsid w:val="002F271E"/>
    <w:rsid w:val="002F3571"/>
    <w:rsid w:val="002F60D2"/>
    <w:rsid w:val="002F61F9"/>
    <w:rsid w:val="0030394A"/>
    <w:rsid w:val="00314FDD"/>
    <w:rsid w:val="00326429"/>
    <w:rsid w:val="003307C2"/>
    <w:rsid w:val="00333E73"/>
    <w:rsid w:val="00334F84"/>
    <w:rsid w:val="00335CCC"/>
    <w:rsid w:val="003364D6"/>
    <w:rsid w:val="003421E4"/>
    <w:rsid w:val="00343769"/>
    <w:rsid w:val="0034424B"/>
    <w:rsid w:val="003452B3"/>
    <w:rsid w:val="00345D93"/>
    <w:rsid w:val="0034710C"/>
    <w:rsid w:val="00350BEC"/>
    <w:rsid w:val="003510E5"/>
    <w:rsid w:val="00351E25"/>
    <w:rsid w:val="00353B6D"/>
    <w:rsid w:val="0036001A"/>
    <w:rsid w:val="0036255A"/>
    <w:rsid w:val="00365B2D"/>
    <w:rsid w:val="0037130C"/>
    <w:rsid w:val="00372199"/>
    <w:rsid w:val="00373320"/>
    <w:rsid w:val="00373B9B"/>
    <w:rsid w:val="00375115"/>
    <w:rsid w:val="00381EA8"/>
    <w:rsid w:val="00385E24"/>
    <w:rsid w:val="00386985"/>
    <w:rsid w:val="003876C8"/>
    <w:rsid w:val="0039220C"/>
    <w:rsid w:val="003941FA"/>
    <w:rsid w:val="003949BD"/>
    <w:rsid w:val="003949E8"/>
    <w:rsid w:val="00395527"/>
    <w:rsid w:val="00395E5E"/>
    <w:rsid w:val="003968DD"/>
    <w:rsid w:val="00396C0C"/>
    <w:rsid w:val="003A1ACC"/>
    <w:rsid w:val="003A37E0"/>
    <w:rsid w:val="003A5A5E"/>
    <w:rsid w:val="003B4118"/>
    <w:rsid w:val="003C5B63"/>
    <w:rsid w:val="003C6576"/>
    <w:rsid w:val="003C6ED9"/>
    <w:rsid w:val="003C7309"/>
    <w:rsid w:val="003D44CA"/>
    <w:rsid w:val="003D7DB0"/>
    <w:rsid w:val="003E3C59"/>
    <w:rsid w:val="003E5FC4"/>
    <w:rsid w:val="003E7B5D"/>
    <w:rsid w:val="003F40A4"/>
    <w:rsid w:val="003F4D1D"/>
    <w:rsid w:val="00404174"/>
    <w:rsid w:val="00414E99"/>
    <w:rsid w:val="004152A8"/>
    <w:rsid w:val="004216CA"/>
    <w:rsid w:val="00424343"/>
    <w:rsid w:val="00426D0D"/>
    <w:rsid w:val="004274A3"/>
    <w:rsid w:val="00430803"/>
    <w:rsid w:val="00436E01"/>
    <w:rsid w:val="004424F0"/>
    <w:rsid w:val="0044491E"/>
    <w:rsid w:val="00444A4A"/>
    <w:rsid w:val="00444D73"/>
    <w:rsid w:val="004506E5"/>
    <w:rsid w:val="00454FF3"/>
    <w:rsid w:val="0046217D"/>
    <w:rsid w:val="00464E87"/>
    <w:rsid w:val="00472074"/>
    <w:rsid w:val="004777E6"/>
    <w:rsid w:val="004910B2"/>
    <w:rsid w:val="004929C6"/>
    <w:rsid w:val="00494988"/>
    <w:rsid w:val="00495DA9"/>
    <w:rsid w:val="004A49CD"/>
    <w:rsid w:val="004B197B"/>
    <w:rsid w:val="004B3C87"/>
    <w:rsid w:val="004B5469"/>
    <w:rsid w:val="004B7ECD"/>
    <w:rsid w:val="004C3B52"/>
    <w:rsid w:val="004C4238"/>
    <w:rsid w:val="004C4ED7"/>
    <w:rsid w:val="004D074E"/>
    <w:rsid w:val="004D1B7C"/>
    <w:rsid w:val="004D2267"/>
    <w:rsid w:val="004D2FDB"/>
    <w:rsid w:val="004D7BA1"/>
    <w:rsid w:val="004E184A"/>
    <w:rsid w:val="004F3779"/>
    <w:rsid w:val="004F7516"/>
    <w:rsid w:val="0050304E"/>
    <w:rsid w:val="00506BC2"/>
    <w:rsid w:val="00513ABA"/>
    <w:rsid w:val="00513F9F"/>
    <w:rsid w:val="00526FBD"/>
    <w:rsid w:val="00546681"/>
    <w:rsid w:val="00554B97"/>
    <w:rsid w:val="005572C9"/>
    <w:rsid w:val="00567C3F"/>
    <w:rsid w:val="005710E3"/>
    <w:rsid w:val="00581921"/>
    <w:rsid w:val="00592F71"/>
    <w:rsid w:val="00593EBB"/>
    <w:rsid w:val="00596FA3"/>
    <w:rsid w:val="005B14ED"/>
    <w:rsid w:val="005B3BD6"/>
    <w:rsid w:val="005B5B98"/>
    <w:rsid w:val="005B70C7"/>
    <w:rsid w:val="005C2C9E"/>
    <w:rsid w:val="005D1718"/>
    <w:rsid w:val="005D33D1"/>
    <w:rsid w:val="005E05B9"/>
    <w:rsid w:val="005E1F06"/>
    <w:rsid w:val="005E4074"/>
    <w:rsid w:val="005E43BA"/>
    <w:rsid w:val="005F0CAD"/>
    <w:rsid w:val="005F7C18"/>
    <w:rsid w:val="00605ACA"/>
    <w:rsid w:val="00610642"/>
    <w:rsid w:val="00611CAA"/>
    <w:rsid w:val="006154E2"/>
    <w:rsid w:val="0061556E"/>
    <w:rsid w:val="006221F2"/>
    <w:rsid w:val="006271AA"/>
    <w:rsid w:val="00630DD6"/>
    <w:rsid w:val="00631E35"/>
    <w:rsid w:val="00632C33"/>
    <w:rsid w:val="00646F1A"/>
    <w:rsid w:val="00651407"/>
    <w:rsid w:val="00662056"/>
    <w:rsid w:val="00671D5C"/>
    <w:rsid w:val="00675017"/>
    <w:rsid w:val="00675EA6"/>
    <w:rsid w:val="00684F1F"/>
    <w:rsid w:val="0068625B"/>
    <w:rsid w:val="006866D6"/>
    <w:rsid w:val="00690E4D"/>
    <w:rsid w:val="0069478F"/>
    <w:rsid w:val="006A0F42"/>
    <w:rsid w:val="006A10F0"/>
    <w:rsid w:val="006A2A56"/>
    <w:rsid w:val="006C0EF8"/>
    <w:rsid w:val="006C160C"/>
    <w:rsid w:val="006C2F99"/>
    <w:rsid w:val="006C63A5"/>
    <w:rsid w:val="006D09D0"/>
    <w:rsid w:val="006D1D36"/>
    <w:rsid w:val="006D5A3D"/>
    <w:rsid w:val="006E275A"/>
    <w:rsid w:val="006E3E5C"/>
    <w:rsid w:val="006E7A4B"/>
    <w:rsid w:val="006F0424"/>
    <w:rsid w:val="006F1139"/>
    <w:rsid w:val="006F1872"/>
    <w:rsid w:val="006F4B53"/>
    <w:rsid w:val="007065C5"/>
    <w:rsid w:val="007077C5"/>
    <w:rsid w:val="007078F4"/>
    <w:rsid w:val="007148BA"/>
    <w:rsid w:val="0072172A"/>
    <w:rsid w:val="00722B6A"/>
    <w:rsid w:val="007251C8"/>
    <w:rsid w:val="007252DF"/>
    <w:rsid w:val="007364DA"/>
    <w:rsid w:val="007373D1"/>
    <w:rsid w:val="00742299"/>
    <w:rsid w:val="007450D0"/>
    <w:rsid w:val="00747FE0"/>
    <w:rsid w:val="00750A75"/>
    <w:rsid w:val="00753C03"/>
    <w:rsid w:val="0076356D"/>
    <w:rsid w:val="00765C0D"/>
    <w:rsid w:val="00767579"/>
    <w:rsid w:val="00770B7D"/>
    <w:rsid w:val="00772EBC"/>
    <w:rsid w:val="00774781"/>
    <w:rsid w:val="00775E91"/>
    <w:rsid w:val="00777CB8"/>
    <w:rsid w:val="00782852"/>
    <w:rsid w:val="00783332"/>
    <w:rsid w:val="00792C48"/>
    <w:rsid w:val="00793A1B"/>
    <w:rsid w:val="007A0DCD"/>
    <w:rsid w:val="007C0589"/>
    <w:rsid w:val="007C1885"/>
    <w:rsid w:val="007D0667"/>
    <w:rsid w:val="007D3933"/>
    <w:rsid w:val="007D7910"/>
    <w:rsid w:val="007E7192"/>
    <w:rsid w:val="007F0771"/>
    <w:rsid w:val="007F33DF"/>
    <w:rsid w:val="007F688A"/>
    <w:rsid w:val="007F7AD4"/>
    <w:rsid w:val="008008F2"/>
    <w:rsid w:val="0080673F"/>
    <w:rsid w:val="00806DC0"/>
    <w:rsid w:val="00807653"/>
    <w:rsid w:val="00812907"/>
    <w:rsid w:val="0081582E"/>
    <w:rsid w:val="0081739F"/>
    <w:rsid w:val="008204AB"/>
    <w:rsid w:val="00820CE1"/>
    <w:rsid w:val="0082230E"/>
    <w:rsid w:val="00824136"/>
    <w:rsid w:val="008304BC"/>
    <w:rsid w:val="008316EC"/>
    <w:rsid w:val="00833625"/>
    <w:rsid w:val="008357E5"/>
    <w:rsid w:val="008362C0"/>
    <w:rsid w:val="00840907"/>
    <w:rsid w:val="008473E8"/>
    <w:rsid w:val="00847460"/>
    <w:rsid w:val="00850BF9"/>
    <w:rsid w:val="00852218"/>
    <w:rsid w:val="0085709C"/>
    <w:rsid w:val="00867B9E"/>
    <w:rsid w:val="00870ED7"/>
    <w:rsid w:val="008722D8"/>
    <w:rsid w:val="00880259"/>
    <w:rsid w:val="00881746"/>
    <w:rsid w:val="00883777"/>
    <w:rsid w:val="008916CB"/>
    <w:rsid w:val="00891D45"/>
    <w:rsid w:val="0089353D"/>
    <w:rsid w:val="008963DC"/>
    <w:rsid w:val="00896B25"/>
    <w:rsid w:val="008B189F"/>
    <w:rsid w:val="008B19A3"/>
    <w:rsid w:val="008B209A"/>
    <w:rsid w:val="008B6A95"/>
    <w:rsid w:val="008B6D55"/>
    <w:rsid w:val="008C37F9"/>
    <w:rsid w:val="008C55B6"/>
    <w:rsid w:val="008E022B"/>
    <w:rsid w:val="008E0497"/>
    <w:rsid w:val="008E37B9"/>
    <w:rsid w:val="008E6EB6"/>
    <w:rsid w:val="008F0C29"/>
    <w:rsid w:val="008F51E1"/>
    <w:rsid w:val="009009A1"/>
    <w:rsid w:val="00902BE0"/>
    <w:rsid w:val="00902E70"/>
    <w:rsid w:val="00906231"/>
    <w:rsid w:val="009115C0"/>
    <w:rsid w:val="00911F3B"/>
    <w:rsid w:val="00913808"/>
    <w:rsid w:val="00924BE5"/>
    <w:rsid w:val="00924EBA"/>
    <w:rsid w:val="00933F1F"/>
    <w:rsid w:val="00944D10"/>
    <w:rsid w:val="009527FE"/>
    <w:rsid w:val="00956FE6"/>
    <w:rsid w:val="00957039"/>
    <w:rsid w:val="009641C5"/>
    <w:rsid w:val="0097469C"/>
    <w:rsid w:val="00977E4F"/>
    <w:rsid w:val="00980175"/>
    <w:rsid w:val="009875E2"/>
    <w:rsid w:val="009908D9"/>
    <w:rsid w:val="009959A3"/>
    <w:rsid w:val="009A37B6"/>
    <w:rsid w:val="009A40A5"/>
    <w:rsid w:val="009A56EF"/>
    <w:rsid w:val="009B0234"/>
    <w:rsid w:val="009B76C9"/>
    <w:rsid w:val="009B786D"/>
    <w:rsid w:val="009C592A"/>
    <w:rsid w:val="009C7AF0"/>
    <w:rsid w:val="009D200F"/>
    <w:rsid w:val="009D368A"/>
    <w:rsid w:val="009D5222"/>
    <w:rsid w:val="009D6A87"/>
    <w:rsid w:val="009F1159"/>
    <w:rsid w:val="009F6BA6"/>
    <w:rsid w:val="009F7D6D"/>
    <w:rsid w:val="00A07264"/>
    <w:rsid w:val="00A07F96"/>
    <w:rsid w:val="00A159CF"/>
    <w:rsid w:val="00A21033"/>
    <w:rsid w:val="00A2178A"/>
    <w:rsid w:val="00A231DD"/>
    <w:rsid w:val="00A30242"/>
    <w:rsid w:val="00A31DFB"/>
    <w:rsid w:val="00A32282"/>
    <w:rsid w:val="00A32340"/>
    <w:rsid w:val="00A3716A"/>
    <w:rsid w:val="00A423FD"/>
    <w:rsid w:val="00A455F7"/>
    <w:rsid w:val="00A45D5A"/>
    <w:rsid w:val="00A53F3C"/>
    <w:rsid w:val="00A55F14"/>
    <w:rsid w:val="00A60AC3"/>
    <w:rsid w:val="00A72D66"/>
    <w:rsid w:val="00A76B62"/>
    <w:rsid w:val="00A8588C"/>
    <w:rsid w:val="00A919C7"/>
    <w:rsid w:val="00A91E1F"/>
    <w:rsid w:val="00A92566"/>
    <w:rsid w:val="00A93B0A"/>
    <w:rsid w:val="00AA25A6"/>
    <w:rsid w:val="00AA531A"/>
    <w:rsid w:val="00AA6C97"/>
    <w:rsid w:val="00AB3891"/>
    <w:rsid w:val="00AC0444"/>
    <w:rsid w:val="00AC2D18"/>
    <w:rsid w:val="00AC32D3"/>
    <w:rsid w:val="00AC6FB4"/>
    <w:rsid w:val="00AC7E28"/>
    <w:rsid w:val="00AD3591"/>
    <w:rsid w:val="00AD499E"/>
    <w:rsid w:val="00AE393F"/>
    <w:rsid w:val="00AE3AC6"/>
    <w:rsid w:val="00AE6CC4"/>
    <w:rsid w:val="00AF0DCC"/>
    <w:rsid w:val="00AF34A1"/>
    <w:rsid w:val="00AF412F"/>
    <w:rsid w:val="00AF5CCE"/>
    <w:rsid w:val="00AF5FC5"/>
    <w:rsid w:val="00AF7430"/>
    <w:rsid w:val="00B01266"/>
    <w:rsid w:val="00B03E48"/>
    <w:rsid w:val="00B05558"/>
    <w:rsid w:val="00B2119B"/>
    <w:rsid w:val="00B24EA3"/>
    <w:rsid w:val="00B26C4E"/>
    <w:rsid w:val="00B27ECB"/>
    <w:rsid w:val="00B307EE"/>
    <w:rsid w:val="00B35F7D"/>
    <w:rsid w:val="00B36FE4"/>
    <w:rsid w:val="00B37117"/>
    <w:rsid w:val="00B4373F"/>
    <w:rsid w:val="00B44DC6"/>
    <w:rsid w:val="00B47AC3"/>
    <w:rsid w:val="00B509D8"/>
    <w:rsid w:val="00B50B8F"/>
    <w:rsid w:val="00B54611"/>
    <w:rsid w:val="00B61A1B"/>
    <w:rsid w:val="00B663B8"/>
    <w:rsid w:val="00B77AB7"/>
    <w:rsid w:val="00B819CA"/>
    <w:rsid w:val="00B82E34"/>
    <w:rsid w:val="00B856E1"/>
    <w:rsid w:val="00B959AD"/>
    <w:rsid w:val="00BA3DB2"/>
    <w:rsid w:val="00BA48B7"/>
    <w:rsid w:val="00BA7609"/>
    <w:rsid w:val="00BB0B40"/>
    <w:rsid w:val="00BB3DD4"/>
    <w:rsid w:val="00BC117A"/>
    <w:rsid w:val="00BC3707"/>
    <w:rsid w:val="00BD0CBF"/>
    <w:rsid w:val="00BD1E64"/>
    <w:rsid w:val="00BE13AE"/>
    <w:rsid w:val="00BE1605"/>
    <w:rsid w:val="00BE774B"/>
    <w:rsid w:val="00BF4F15"/>
    <w:rsid w:val="00C02E62"/>
    <w:rsid w:val="00C041D2"/>
    <w:rsid w:val="00C058DE"/>
    <w:rsid w:val="00C0725C"/>
    <w:rsid w:val="00C11178"/>
    <w:rsid w:val="00C13288"/>
    <w:rsid w:val="00C14406"/>
    <w:rsid w:val="00C15975"/>
    <w:rsid w:val="00C17BE3"/>
    <w:rsid w:val="00C22170"/>
    <w:rsid w:val="00C23007"/>
    <w:rsid w:val="00C261C0"/>
    <w:rsid w:val="00C26583"/>
    <w:rsid w:val="00C27249"/>
    <w:rsid w:val="00C31819"/>
    <w:rsid w:val="00C33F0C"/>
    <w:rsid w:val="00C3466C"/>
    <w:rsid w:val="00C43E4D"/>
    <w:rsid w:val="00C43EC1"/>
    <w:rsid w:val="00C529AB"/>
    <w:rsid w:val="00C53376"/>
    <w:rsid w:val="00C562CA"/>
    <w:rsid w:val="00C57EF7"/>
    <w:rsid w:val="00C62151"/>
    <w:rsid w:val="00C66585"/>
    <w:rsid w:val="00C7462A"/>
    <w:rsid w:val="00C74FF5"/>
    <w:rsid w:val="00C80E0D"/>
    <w:rsid w:val="00C81734"/>
    <w:rsid w:val="00C81F91"/>
    <w:rsid w:val="00C836AE"/>
    <w:rsid w:val="00C84576"/>
    <w:rsid w:val="00C847DF"/>
    <w:rsid w:val="00C8735E"/>
    <w:rsid w:val="00C92A24"/>
    <w:rsid w:val="00C946E2"/>
    <w:rsid w:val="00C957AD"/>
    <w:rsid w:val="00CA0B13"/>
    <w:rsid w:val="00CA2780"/>
    <w:rsid w:val="00CA4731"/>
    <w:rsid w:val="00CA510C"/>
    <w:rsid w:val="00CA544D"/>
    <w:rsid w:val="00CA7AD6"/>
    <w:rsid w:val="00CB43EA"/>
    <w:rsid w:val="00CB6209"/>
    <w:rsid w:val="00CB7AF5"/>
    <w:rsid w:val="00CC6CE5"/>
    <w:rsid w:val="00CD778F"/>
    <w:rsid w:val="00CE3D2C"/>
    <w:rsid w:val="00CF31D4"/>
    <w:rsid w:val="00CF38DC"/>
    <w:rsid w:val="00CF3CDE"/>
    <w:rsid w:val="00CF6241"/>
    <w:rsid w:val="00CF6FB8"/>
    <w:rsid w:val="00CF7067"/>
    <w:rsid w:val="00D00C3D"/>
    <w:rsid w:val="00D018C4"/>
    <w:rsid w:val="00D126CF"/>
    <w:rsid w:val="00D146CC"/>
    <w:rsid w:val="00D15D5D"/>
    <w:rsid w:val="00D17EBB"/>
    <w:rsid w:val="00D31F7D"/>
    <w:rsid w:val="00D330E1"/>
    <w:rsid w:val="00D35CEE"/>
    <w:rsid w:val="00D3689D"/>
    <w:rsid w:val="00D56DE5"/>
    <w:rsid w:val="00D6175C"/>
    <w:rsid w:val="00D62A80"/>
    <w:rsid w:val="00D65F10"/>
    <w:rsid w:val="00D65FB6"/>
    <w:rsid w:val="00D6779B"/>
    <w:rsid w:val="00D72CE4"/>
    <w:rsid w:val="00D7306B"/>
    <w:rsid w:val="00D74A96"/>
    <w:rsid w:val="00D7780B"/>
    <w:rsid w:val="00D77901"/>
    <w:rsid w:val="00D81DDB"/>
    <w:rsid w:val="00D81FA0"/>
    <w:rsid w:val="00D9277A"/>
    <w:rsid w:val="00D927BA"/>
    <w:rsid w:val="00D93050"/>
    <w:rsid w:val="00DA1529"/>
    <w:rsid w:val="00DB08B2"/>
    <w:rsid w:val="00DB2A81"/>
    <w:rsid w:val="00DB62D2"/>
    <w:rsid w:val="00DC100F"/>
    <w:rsid w:val="00DC7E0E"/>
    <w:rsid w:val="00DD2274"/>
    <w:rsid w:val="00DD3626"/>
    <w:rsid w:val="00DD784C"/>
    <w:rsid w:val="00DD7F54"/>
    <w:rsid w:val="00DF1A80"/>
    <w:rsid w:val="00E01B80"/>
    <w:rsid w:val="00E03315"/>
    <w:rsid w:val="00E23F4A"/>
    <w:rsid w:val="00E2436C"/>
    <w:rsid w:val="00E329F2"/>
    <w:rsid w:val="00E3719D"/>
    <w:rsid w:val="00E37F22"/>
    <w:rsid w:val="00E47EEC"/>
    <w:rsid w:val="00E564EF"/>
    <w:rsid w:val="00E60F1C"/>
    <w:rsid w:val="00E631C0"/>
    <w:rsid w:val="00E87489"/>
    <w:rsid w:val="00E9013C"/>
    <w:rsid w:val="00E93FFD"/>
    <w:rsid w:val="00EB593D"/>
    <w:rsid w:val="00EC1DC9"/>
    <w:rsid w:val="00ED4580"/>
    <w:rsid w:val="00ED6B0C"/>
    <w:rsid w:val="00EE0F98"/>
    <w:rsid w:val="00EE1079"/>
    <w:rsid w:val="00EE28F0"/>
    <w:rsid w:val="00EE7E3A"/>
    <w:rsid w:val="00EF3DBB"/>
    <w:rsid w:val="00EF59D5"/>
    <w:rsid w:val="00EF7A09"/>
    <w:rsid w:val="00F01DBA"/>
    <w:rsid w:val="00F11121"/>
    <w:rsid w:val="00F17696"/>
    <w:rsid w:val="00F30EC6"/>
    <w:rsid w:val="00F32A26"/>
    <w:rsid w:val="00F333D3"/>
    <w:rsid w:val="00F34DBE"/>
    <w:rsid w:val="00F35621"/>
    <w:rsid w:val="00F4034E"/>
    <w:rsid w:val="00F406C0"/>
    <w:rsid w:val="00F4259A"/>
    <w:rsid w:val="00F46230"/>
    <w:rsid w:val="00F46300"/>
    <w:rsid w:val="00F47533"/>
    <w:rsid w:val="00F47D5E"/>
    <w:rsid w:val="00F47EC8"/>
    <w:rsid w:val="00F56B1F"/>
    <w:rsid w:val="00F62250"/>
    <w:rsid w:val="00F67824"/>
    <w:rsid w:val="00F67AE8"/>
    <w:rsid w:val="00F70BE9"/>
    <w:rsid w:val="00F748D5"/>
    <w:rsid w:val="00F76621"/>
    <w:rsid w:val="00F81718"/>
    <w:rsid w:val="00F82CCB"/>
    <w:rsid w:val="00FA5276"/>
    <w:rsid w:val="00FA79A5"/>
    <w:rsid w:val="00FA7A46"/>
    <w:rsid w:val="00FB2CE1"/>
    <w:rsid w:val="00FB55AC"/>
    <w:rsid w:val="00FB6390"/>
    <w:rsid w:val="00FC502D"/>
    <w:rsid w:val="00FC59AC"/>
    <w:rsid w:val="00FC7EFA"/>
    <w:rsid w:val="00FD009A"/>
    <w:rsid w:val="00FD06D0"/>
    <w:rsid w:val="00FD419F"/>
    <w:rsid w:val="00FD7D6D"/>
    <w:rsid w:val="00FE11D5"/>
    <w:rsid w:val="00FE4ACA"/>
    <w:rsid w:val="00FF27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DE0C8F"/>
  <w15:docId w15:val="{A1456D9C-8EDE-4137-8159-A638C301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1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FE6"/>
    <w:pPr>
      <w:ind w:left="720"/>
      <w:contextualSpacing/>
    </w:pPr>
  </w:style>
  <w:style w:type="paragraph" w:styleId="Header">
    <w:name w:val="header"/>
    <w:basedOn w:val="Normal"/>
    <w:link w:val="HeaderChar"/>
    <w:uiPriority w:val="99"/>
    <w:unhideWhenUsed/>
    <w:rsid w:val="00B50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9D8"/>
  </w:style>
  <w:style w:type="paragraph" w:styleId="Footer">
    <w:name w:val="footer"/>
    <w:basedOn w:val="Normal"/>
    <w:link w:val="FooterChar"/>
    <w:uiPriority w:val="99"/>
    <w:unhideWhenUsed/>
    <w:rsid w:val="00B50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9D8"/>
  </w:style>
  <w:style w:type="paragraph" w:customStyle="1" w:styleId="Default">
    <w:name w:val="Default"/>
    <w:rsid w:val="00B509D8"/>
    <w:pPr>
      <w:autoSpaceDE w:val="0"/>
      <w:autoSpaceDN w:val="0"/>
      <w:adjustRightInd w:val="0"/>
      <w:spacing w:after="0" w:line="240" w:lineRule="auto"/>
    </w:pPr>
    <w:rPr>
      <w:rFonts w:ascii="Georgia" w:hAnsi="Georgia" w:cs="Georgia"/>
      <w:color w:val="000000"/>
      <w:sz w:val="24"/>
      <w:szCs w:val="24"/>
      <w:lang w:val="en-GB"/>
    </w:rPr>
  </w:style>
  <w:style w:type="table" w:styleId="TableGrid">
    <w:name w:val="Table Grid"/>
    <w:basedOn w:val="TableNormal"/>
    <w:uiPriority w:val="39"/>
    <w:rsid w:val="00DD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45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580"/>
    <w:rPr>
      <w:rFonts w:ascii="Segoe UI" w:hAnsi="Segoe UI" w:cs="Segoe UI"/>
      <w:sz w:val="18"/>
      <w:szCs w:val="18"/>
    </w:rPr>
  </w:style>
  <w:style w:type="character" w:styleId="CommentReference">
    <w:name w:val="annotation reference"/>
    <w:basedOn w:val="DefaultParagraphFont"/>
    <w:uiPriority w:val="99"/>
    <w:semiHidden/>
    <w:unhideWhenUsed/>
    <w:rsid w:val="00833625"/>
    <w:rPr>
      <w:sz w:val="16"/>
      <w:szCs w:val="16"/>
    </w:rPr>
  </w:style>
  <w:style w:type="paragraph" w:styleId="CommentText">
    <w:name w:val="annotation text"/>
    <w:basedOn w:val="Normal"/>
    <w:link w:val="CommentTextChar"/>
    <w:uiPriority w:val="99"/>
    <w:semiHidden/>
    <w:unhideWhenUsed/>
    <w:rsid w:val="00833625"/>
    <w:pPr>
      <w:spacing w:line="240" w:lineRule="auto"/>
    </w:pPr>
    <w:rPr>
      <w:sz w:val="20"/>
      <w:szCs w:val="20"/>
    </w:rPr>
  </w:style>
  <w:style w:type="character" w:customStyle="1" w:styleId="CommentTextChar">
    <w:name w:val="Comment Text Char"/>
    <w:basedOn w:val="DefaultParagraphFont"/>
    <w:link w:val="CommentText"/>
    <w:uiPriority w:val="99"/>
    <w:semiHidden/>
    <w:rsid w:val="00833625"/>
    <w:rPr>
      <w:sz w:val="20"/>
      <w:szCs w:val="20"/>
    </w:rPr>
  </w:style>
  <w:style w:type="paragraph" w:styleId="CommentSubject">
    <w:name w:val="annotation subject"/>
    <w:basedOn w:val="CommentText"/>
    <w:next w:val="CommentText"/>
    <w:link w:val="CommentSubjectChar"/>
    <w:uiPriority w:val="99"/>
    <w:semiHidden/>
    <w:unhideWhenUsed/>
    <w:rsid w:val="00833625"/>
    <w:rPr>
      <w:b/>
      <w:bCs/>
    </w:rPr>
  </w:style>
  <w:style w:type="character" w:customStyle="1" w:styleId="CommentSubjectChar">
    <w:name w:val="Comment Subject Char"/>
    <w:basedOn w:val="CommentTextChar"/>
    <w:link w:val="CommentSubject"/>
    <w:uiPriority w:val="99"/>
    <w:semiHidden/>
    <w:rsid w:val="008336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9159">
      <w:bodyDiv w:val="1"/>
      <w:marLeft w:val="0"/>
      <w:marRight w:val="0"/>
      <w:marTop w:val="0"/>
      <w:marBottom w:val="0"/>
      <w:divBdr>
        <w:top w:val="none" w:sz="0" w:space="0" w:color="auto"/>
        <w:left w:val="none" w:sz="0" w:space="0" w:color="auto"/>
        <w:bottom w:val="none" w:sz="0" w:space="0" w:color="auto"/>
        <w:right w:val="none" w:sz="0" w:space="0" w:color="auto"/>
      </w:divBdr>
    </w:div>
    <w:div w:id="271665975">
      <w:bodyDiv w:val="1"/>
      <w:marLeft w:val="0"/>
      <w:marRight w:val="0"/>
      <w:marTop w:val="0"/>
      <w:marBottom w:val="0"/>
      <w:divBdr>
        <w:top w:val="none" w:sz="0" w:space="0" w:color="auto"/>
        <w:left w:val="none" w:sz="0" w:space="0" w:color="auto"/>
        <w:bottom w:val="none" w:sz="0" w:space="0" w:color="auto"/>
        <w:right w:val="none" w:sz="0" w:space="0" w:color="auto"/>
      </w:divBdr>
    </w:div>
    <w:div w:id="334458717">
      <w:bodyDiv w:val="1"/>
      <w:marLeft w:val="0"/>
      <w:marRight w:val="0"/>
      <w:marTop w:val="0"/>
      <w:marBottom w:val="0"/>
      <w:divBdr>
        <w:top w:val="none" w:sz="0" w:space="0" w:color="auto"/>
        <w:left w:val="none" w:sz="0" w:space="0" w:color="auto"/>
        <w:bottom w:val="none" w:sz="0" w:space="0" w:color="auto"/>
        <w:right w:val="none" w:sz="0" w:space="0" w:color="auto"/>
      </w:divBdr>
    </w:div>
    <w:div w:id="463500487">
      <w:bodyDiv w:val="1"/>
      <w:marLeft w:val="0"/>
      <w:marRight w:val="0"/>
      <w:marTop w:val="0"/>
      <w:marBottom w:val="0"/>
      <w:divBdr>
        <w:top w:val="none" w:sz="0" w:space="0" w:color="auto"/>
        <w:left w:val="none" w:sz="0" w:space="0" w:color="auto"/>
        <w:bottom w:val="none" w:sz="0" w:space="0" w:color="auto"/>
        <w:right w:val="none" w:sz="0" w:space="0" w:color="auto"/>
      </w:divBdr>
    </w:div>
    <w:div w:id="669210455">
      <w:bodyDiv w:val="1"/>
      <w:marLeft w:val="0"/>
      <w:marRight w:val="0"/>
      <w:marTop w:val="0"/>
      <w:marBottom w:val="0"/>
      <w:divBdr>
        <w:top w:val="none" w:sz="0" w:space="0" w:color="auto"/>
        <w:left w:val="none" w:sz="0" w:space="0" w:color="auto"/>
        <w:bottom w:val="none" w:sz="0" w:space="0" w:color="auto"/>
        <w:right w:val="none" w:sz="0" w:space="0" w:color="auto"/>
      </w:divBdr>
    </w:div>
    <w:div w:id="673654753">
      <w:bodyDiv w:val="1"/>
      <w:marLeft w:val="0"/>
      <w:marRight w:val="0"/>
      <w:marTop w:val="0"/>
      <w:marBottom w:val="0"/>
      <w:divBdr>
        <w:top w:val="none" w:sz="0" w:space="0" w:color="auto"/>
        <w:left w:val="none" w:sz="0" w:space="0" w:color="auto"/>
        <w:bottom w:val="none" w:sz="0" w:space="0" w:color="auto"/>
        <w:right w:val="none" w:sz="0" w:space="0" w:color="auto"/>
      </w:divBdr>
    </w:div>
    <w:div w:id="773482799">
      <w:bodyDiv w:val="1"/>
      <w:marLeft w:val="0"/>
      <w:marRight w:val="0"/>
      <w:marTop w:val="0"/>
      <w:marBottom w:val="0"/>
      <w:divBdr>
        <w:top w:val="none" w:sz="0" w:space="0" w:color="auto"/>
        <w:left w:val="none" w:sz="0" w:space="0" w:color="auto"/>
        <w:bottom w:val="none" w:sz="0" w:space="0" w:color="auto"/>
        <w:right w:val="none" w:sz="0" w:space="0" w:color="auto"/>
      </w:divBdr>
    </w:div>
    <w:div w:id="815297777">
      <w:bodyDiv w:val="1"/>
      <w:marLeft w:val="0"/>
      <w:marRight w:val="0"/>
      <w:marTop w:val="0"/>
      <w:marBottom w:val="0"/>
      <w:divBdr>
        <w:top w:val="none" w:sz="0" w:space="0" w:color="auto"/>
        <w:left w:val="none" w:sz="0" w:space="0" w:color="auto"/>
        <w:bottom w:val="none" w:sz="0" w:space="0" w:color="auto"/>
        <w:right w:val="none" w:sz="0" w:space="0" w:color="auto"/>
      </w:divBdr>
    </w:div>
    <w:div w:id="1209143071">
      <w:bodyDiv w:val="1"/>
      <w:marLeft w:val="0"/>
      <w:marRight w:val="0"/>
      <w:marTop w:val="0"/>
      <w:marBottom w:val="0"/>
      <w:divBdr>
        <w:top w:val="none" w:sz="0" w:space="0" w:color="auto"/>
        <w:left w:val="none" w:sz="0" w:space="0" w:color="auto"/>
        <w:bottom w:val="none" w:sz="0" w:space="0" w:color="auto"/>
        <w:right w:val="none" w:sz="0" w:space="0" w:color="auto"/>
      </w:divBdr>
    </w:div>
    <w:div w:id="1523859544">
      <w:bodyDiv w:val="1"/>
      <w:marLeft w:val="0"/>
      <w:marRight w:val="0"/>
      <w:marTop w:val="0"/>
      <w:marBottom w:val="0"/>
      <w:divBdr>
        <w:top w:val="none" w:sz="0" w:space="0" w:color="auto"/>
        <w:left w:val="none" w:sz="0" w:space="0" w:color="auto"/>
        <w:bottom w:val="none" w:sz="0" w:space="0" w:color="auto"/>
        <w:right w:val="none" w:sz="0" w:space="0" w:color="auto"/>
      </w:divBdr>
    </w:div>
    <w:div w:id="1576669908">
      <w:bodyDiv w:val="1"/>
      <w:marLeft w:val="0"/>
      <w:marRight w:val="0"/>
      <w:marTop w:val="0"/>
      <w:marBottom w:val="0"/>
      <w:divBdr>
        <w:top w:val="none" w:sz="0" w:space="0" w:color="auto"/>
        <w:left w:val="none" w:sz="0" w:space="0" w:color="auto"/>
        <w:bottom w:val="none" w:sz="0" w:space="0" w:color="auto"/>
        <w:right w:val="none" w:sz="0" w:space="0" w:color="auto"/>
      </w:divBdr>
    </w:div>
    <w:div w:id="1773630050">
      <w:bodyDiv w:val="1"/>
      <w:marLeft w:val="0"/>
      <w:marRight w:val="0"/>
      <w:marTop w:val="0"/>
      <w:marBottom w:val="0"/>
      <w:divBdr>
        <w:top w:val="none" w:sz="0" w:space="0" w:color="auto"/>
        <w:left w:val="none" w:sz="0" w:space="0" w:color="auto"/>
        <w:bottom w:val="none" w:sz="0" w:space="0" w:color="auto"/>
        <w:right w:val="none" w:sz="0" w:space="0" w:color="auto"/>
      </w:divBdr>
    </w:div>
    <w:div w:id="1777359274">
      <w:bodyDiv w:val="1"/>
      <w:marLeft w:val="0"/>
      <w:marRight w:val="0"/>
      <w:marTop w:val="0"/>
      <w:marBottom w:val="0"/>
      <w:divBdr>
        <w:top w:val="none" w:sz="0" w:space="0" w:color="auto"/>
        <w:left w:val="none" w:sz="0" w:space="0" w:color="auto"/>
        <w:bottom w:val="none" w:sz="0" w:space="0" w:color="auto"/>
        <w:right w:val="none" w:sz="0" w:space="0" w:color="auto"/>
      </w:divBdr>
    </w:div>
    <w:div w:id="1968506655">
      <w:bodyDiv w:val="1"/>
      <w:marLeft w:val="0"/>
      <w:marRight w:val="0"/>
      <w:marTop w:val="0"/>
      <w:marBottom w:val="0"/>
      <w:divBdr>
        <w:top w:val="none" w:sz="0" w:space="0" w:color="auto"/>
        <w:left w:val="none" w:sz="0" w:space="0" w:color="auto"/>
        <w:bottom w:val="none" w:sz="0" w:space="0" w:color="auto"/>
        <w:right w:val="none" w:sz="0" w:space="0" w:color="auto"/>
      </w:divBdr>
    </w:div>
    <w:div w:id="2006779862">
      <w:bodyDiv w:val="1"/>
      <w:marLeft w:val="0"/>
      <w:marRight w:val="0"/>
      <w:marTop w:val="0"/>
      <w:marBottom w:val="0"/>
      <w:divBdr>
        <w:top w:val="none" w:sz="0" w:space="0" w:color="auto"/>
        <w:left w:val="none" w:sz="0" w:space="0" w:color="auto"/>
        <w:bottom w:val="none" w:sz="0" w:space="0" w:color="auto"/>
        <w:right w:val="none" w:sz="0" w:space="0" w:color="auto"/>
      </w:divBdr>
    </w:div>
    <w:div w:id="201945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427F5-EA74-4A90-A138-53AA2821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1009</Words>
  <Characters>5757</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dc:creator>
  <cp:keywords/>
  <dc:description/>
  <cp:lastModifiedBy>Rashid, Imtiaz</cp:lastModifiedBy>
  <cp:revision>2</cp:revision>
  <dcterms:created xsi:type="dcterms:W3CDTF">2022-09-19T07:00:00Z</dcterms:created>
  <dcterms:modified xsi:type="dcterms:W3CDTF">2022-09-19T07:00:00Z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2021-12-13T02:37:02Z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02fa8b53-e8dc-40cc-95c4-48526536846b</vt:lpwstr>
  </property>
  <property fmtid="{D5CDD505-2E9C-101B-9397-08002B2CF9AE}" pid="8" name="MSIP_Label_ea60d57e-af5b-4752-ac57-3e4f28ca11dc_ContentBits">
    <vt:lpwstr>0</vt:lpwstr>
  </property>
</Properties>
</file>