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70383" w14:textId="3A2B4242" w:rsidR="00CB2EFE" w:rsidRPr="0045272E" w:rsidRDefault="00CB2EFE" w:rsidP="00CB2EFE">
      <w:pPr>
        <w:spacing w:before="100" w:beforeAutospacing="1" w:after="100" w:afterAutospacing="1"/>
        <w:ind w:left="810"/>
        <w:rPr>
          <w:rFonts w:ascii="Verdana" w:eastAsia="Times New Roman" w:hAnsi="Verdana" w:cs="Arial"/>
          <w:b/>
          <w:sz w:val="18"/>
          <w:szCs w:val="18"/>
        </w:rPr>
      </w:pPr>
      <w:r w:rsidRPr="0045272E">
        <w:rPr>
          <w:rFonts w:ascii="Verdana" w:eastAsia="Times New Roman" w:hAnsi="Verdana" w:cs="Arial"/>
          <w:b/>
          <w:sz w:val="18"/>
          <w:szCs w:val="18"/>
        </w:rPr>
        <w:t>From:</w:t>
      </w:r>
      <w:r w:rsidRPr="0045272E">
        <w:rPr>
          <w:rFonts w:ascii="Verdana" w:eastAsia="Times New Roman" w:hAnsi="Verdana" w:cs="Arial"/>
          <w:b/>
          <w:sz w:val="18"/>
          <w:szCs w:val="18"/>
        </w:rPr>
        <w:t> </w:t>
      </w:r>
      <w:r w:rsidR="00EB3ADB">
        <w:rPr>
          <w:rFonts w:ascii="Verdana" w:eastAsia="Times New Roman" w:hAnsi="Verdana" w:cs="Arial"/>
          <w:sz w:val="18"/>
          <w:szCs w:val="18"/>
        </w:rPr>
        <w:t>Shamme Akhter and Moazzem Hossen</w:t>
      </w:r>
    </w:p>
    <w:p w14:paraId="7E3E7474" w14:textId="15779F38" w:rsidR="00CB2EFE" w:rsidRPr="0045272E" w:rsidRDefault="00CB2EFE" w:rsidP="00CB2EFE">
      <w:pPr>
        <w:spacing w:before="100" w:beforeAutospacing="1" w:after="100" w:afterAutospacing="1"/>
        <w:ind w:left="810"/>
        <w:rPr>
          <w:rFonts w:ascii="Verdana" w:eastAsia="Times New Roman" w:hAnsi="Verdana" w:cs="Arial"/>
          <w:b/>
          <w:sz w:val="18"/>
          <w:szCs w:val="18"/>
        </w:rPr>
      </w:pPr>
      <w:r w:rsidRPr="0045272E">
        <w:rPr>
          <w:rFonts w:ascii="Verdana" w:eastAsia="Times New Roman" w:hAnsi="Verdana" w:cs="Arial"/>
          <w:b/>
          <w:sz w:val="18"/>
          <w:szCs w:val="18"/>
        </w:rPr>
        <w:t>Date:</w:t>
      </w:r>
      <w:r w:rsidRPr="0045272E">
        <w:rPr>
          <w:rFonts w:ascii="Verdana" w:eastAsia="Times New Roman" w:hAnsi="Verdana" w:cs="Arial"/>
          <w:b/>
          <w:sz w:val="18"/>
          <w:szCs w:val="18"/>
        </w:rPr>
        <w:t> </w:t>
      </w:r>
      <w:r w:rsidR="00D11551">
        <w:rPr>
          <w:rFonts w:ascii="Verdana" w:eastAsia="Times New Roman" w:hAnsi="Verdana" w:cs="Arial"/>
          <w:sz w:val="18"/>
          <w:szCs w:val="18"/>
        </w:rPr>
        <w:t>7</w:t>
      </w:r>
      <w:r w:rsidR="00EB3ADB">
        <w:rPr>
          <w:rFonts w:ascii="Verdana" w:eastAsia="Times New Roman" w:hAnsi="Verdana" w:cs="Arial"/>
          <w:sz w:val="18"/>
          <w:szCs w:val="18"/>
        </w:rPr>
        <w:t xml:space="preserve"> </w:t>
      </w:r>
      <w:r w:rsidR="00D11551">
        <w:rPr>
          <w:rFonts w:ascii="Verdana" w:eastAsia="Times New Roman" w:hAnsi="Verdana" w:cs="Arial"/>
          <w:sz w:val="18"/>
          <w:szCs w:val="18"/>
        </w:rPr>
        <w:t>September</w:t>
      </w:r>
      <w:r w:rsidR="00EB3ADB">
        <w:rPr>
          <w:rFonts w:ascii="Verdana" w:eastAsia="Times New Roman" w:hAnsi="Verdana" w:cs="Arial"/>
          <w:sz w:val="18"/>
          <w:szCs w:val="18"/>
        </w:rPr>
        <w:t xml:space="preserve"> 2021</w:t>
      </w:r>
    </w:p>
    <w:p w14:paraId="3D068B5D" w14:textId="60C10BFC" w:rsidR="00CB2EFE" w:rsidRPr="0045272E" w:rsidRDefault="00CB2EFE" w:rsidP="00CB2EFE">
      <w:pPr>
        <w:spacing w:before="100" w:beforeAutospacing="1" w:after="100" w:afterAutospacing="1"/>
        <w:ind w:left="810"/>
        <w:rPr>
          <w:rFonts w:ascii="Verdana" w:eastAsia="Times New Roman" w:hAnsi="Verdana" w:cs="Arial"/>
          <w:sz w:val="18"/>
          <w:szCs w:val="18"/>
        </w:rPr>
      </w:pPr>
      <w:r w:rsidRPr="0045272E">
        <w:rPr>
          <w:rFonts w:ascii="Verdana" w:eastAsia="Times New Roman" w:hAnsi="Verdana" w:cs="Arial"/>
          <w:b/>
          <w:sz w:val="18"/>
          <w:szCs w:val="18"/>
        </w:rPr>
        <w:t xml:space="preserve">Subject: </w:t>
      </w:r>
      <w:r w:rsidR="00EB3ADB">
        <w:rPr>
          <w:rFonts w:ascii="Verdana" w:eastAsia="Times New Roman" w:hAnsi="Verdana" w:cs="Arial"/>
          <w:sz w:val="18"/>
          <w:szCs w:val="18"/>
        </w:rPr>
        <w:t xml:space="preserve">IT Clearance Memo </w:t>
      </w:r>
    </w:p>
    <w:p w14:paraId="3F1D4720" w14:textId="7BED550F" w:rsidR="00CB2EFE" w:rsidRPr="0045272E" w:rsidRDefault="00CB2EFE" w:rsidP="00CB2EFE">
      <w:pPr>
        <w:spacing w:before="100" w:beforeAutospacing="1" w:after="100" w:afterAutospacing="1"/>
        <w:ind w:left="810"/>
        <w:rPr>
          <w:rFonts w:ascii="Verdana" w:eastAsia="Times New Roman" w:hAnsi="Verdana" w:cs="Arial"/>
          <w:b/>
          <w:sz w:val="18"/>
          <w:szCs w:val="18"/>
        </w:rPr>
      </w:pPr>
      <w:r w:rsidRPr="0045272E">
        <w:rPr>
          <w:rFonts w:ascii="Verdana" w:eastAsia="Times New Roman" w:hAnsi="Verdana" w:cs="Arial"/>
          <w:b/>
          <w:sz w:val="18"/>
          <w:szCs w:val="18"/>
        </w:rPr>
        <w:t>To:</w:t>
      </w:r>
      <w:r w:rsidRPr="0045272E">
        <w:rPr>
          <w:rFonts w:ascii="Verdana" w:eastAsia="Times New Roman" w:hAnsi="Verdana" w:cs="Arial"/>
          <w:b/>
          <w:sz w:val="18"/>
          <w:szCs w:val="18"/>
        </w:rPr>
        <w:t> </w:t>
      </w:r>
      <w:r w:rsidR="00EB3ADB" w:rsidRPr="00EB3ADB">
        <w:rPr>
          <w:rFonts w:ascii="Verdana" w:eastAsia="Times New Roman" w:hAnsi="Verdana" w:cs="Arial"/>
          <w:sz w:val="18"/>
          <w:szCs w:val="18"/>
        </w:rPr>
        <w:t xml:space="preserve"> </w:t>
      </w:r>
      <w:r w:rsidR="00EB3ADB" w:rsidRPr="00E2796B">
        <w:rPr>
          <w:rFonts w:ascii="Verdana" w:eastAsia="Times New Roman" w:hAnsi="Verdana" w:cs="Arial"/>
          <w:sz w:val="18"/>
          <w:szCs w:val="18"/>
        </w:rPr>
        <w:t>Mr. Faruk Uddin Ahammed, Engagement Partner</w:t>
      </w:r>
    </w:p>
    <w:p w14:paraId="613E7662" w14:textId="7BC669E4" w:rsidR="00CB2EFE" w:rsidRPr="0045272E" w:rsidRDefault="00F118C9" w:rsidP="00CB2EFE">
      <w:pPr>
        <w:ind w:left="810"/>
        <w:rPr>
          <w:rFonts w:ascii="Verdana" w:eastAsia="Times New Roman" w:hAnsi="Verdana" w:cs="Arial"/>
          <w:sz w:val="18"/>
          <w:szCs w:val="18"/>
        </w:rPr>
      </w:pPr>
      <w:r>
        <w:rPr>
          <w:rFonts w:ascii="Verdana" w:eastAsia="Times New Roman" w:hAnsi="Verdana" w:cs="Arial"/>
          <w:sz w:val="18"/>
          <w:szCs w:val="18"/>
        </w:rPr>
        <w:t xml:space="preserve">We </w:t>
      </w:r>
      <w:r w:rsidR="00CB2EFE" w:rsidRPr="0045272E">
        <w:rPr>
          <w:rFonts w:ascii="Verdana" w:eastAsia="Times New Roman" w:hAnsi="Verdana" w:cs="Arial"/>
          <w:sz w:val="18"/>
          <w:szCs w:val="18"/>
        </w:rPr>
        <w:t xml:space="preserve">are providing a summary of the procedures performed and findings related to certain general IT controls that were tested in connection with the audit of the group financial statements of </w:t>
      </w:r>
      <w:r>
        <w:rPr>
          <w:rFonts w:ascii="Verdana" w:eastAsia="Times New Roman" w:hAnsi="Verdana" w:cs="Arial"/>
          <w:sz w:val="18"/>
          <w:szCs w:val="18"/>
        </w:rPr>
        <w:t>EPIC Group Limited</w:t>
      </w:r>
      <w:r w:rsidR="00CB2EFE" w:rsidRPr="0045272E">
        <w:rPr>
          <w:rFonts w:ascii="Verdana" w:eastAsia="Times New Roman" w:hAnsi="Verdana" w:cs="Arial"/>
          <w:sz w:val="18"/>
          <w:szCs w:val="18"/>
        </w:rPr>
        <w:t xml:space="preserve"> for the year ended </w:t>
      </w:r>
      <w:r>
        <w:rPr>
          <w:rFonts w:ascii="Verdana" w:eastAsia="Times New Roman" w:hAnsi="Verdana" w:cs="Arial"/>
          <w:sz w:val="18"/>
          <w:szCs w:val="18"/>
        </w:rPr>
        <w:t xml:space="preserve">June 30, 2021. </w:t>
      </w:r>
      <w:r w:rsidR="00CB2EFE" w:rsidRPr="0045272E">
        <w:rPr>
          <w:rFonts w:ascii="Verdana" w:eastAsia="Times New Roman" w:hAnsi="Verdana" w:cs="Arial"/>
          <w:sz w:val="18"/>
          <w:szCs w:val="18"/>
        </w:rPr>
        <w:t xml:space="preserve">As these procedures were specifically performed in support of the audit referenced above, </w:t>
      </w:r>
      <w:r w:rsidR="00A2523F">
        <w:rPr>
          <w:rFonts w:ascii="Verdana" w:eastAsia="Times New Roman" w:hAnsi="Verdana" w:cs="Arial"/>
          <w:sz w:val="18"/>
          <w:szCs w:val="18"/>
        </w:rPr>
        <w:t xml:space="preserve">we </w:t>
      </w:r>
      <w:r w:rsidR="00CB2EFE" w:rsidRPr="0045272E">
        <w:rPr>
          <w:rFonts w:ascii="Verdana" w:eastAsia="Times New Roman" w:hAnsi="Verdana" w:cs="Arial"/>
          <w:sz w:val="18"/>
          <w:szCs w:val="18"/>
        </w:rPr>
        <w:t xml:space="preserve">should consider the information in this memo in determining the extent of any additional procedures that need to be performed in connection with </w:t>
      </w:r>
      <w:r w:rsidR="00A2523F">
        <w:rPr>
          <w:rFonts w:ascii="Verdana" w:eastAsia="Times New Roman" w:hAnsi="Verdana" w:cs="Arial"/>
          <w:sz w:val="18"/>
          <w:szCs w:val="18"/>
        </w:rPr>
        <w:t>the audit</w:t>
      </w:r>
      <w:r w:rsidR="00CB2EFE" w:rsidRPr="0045272E">
        <w:rPr>
          <w:rFonts w:ascii="Verdana" w:eastAsia="Times New Roman" w:hAnsi="Verdana" w:cs="Arial"/>
          <w:sz w:val="18"/>
          <w:szCs w:val="18"/>
        </w:rPr>
        <w:t xml:space="preserve">. In addition, as it relates to the performance of </w:t>
      </w:r>
      <w:r w:rsidR="00A2523F">
        <w:rPr>
          <w:rFonts w:ascii="Verdana" w:eastAsia="Times New Roman" w:hAnsi="Verdana" w:cs="Arial"/>
          <w:sz w:val="18"/>
          <w:szCs w:val="18"/>
        </w:rPr>
        <w:t>this</w:t>
      </w:r>
      <w:r w:rsidR="00CB2EFE" w:rsidRPr="0045272E">
        <w:rPr>
          <w:rFonts w:ascii="Verdana" w:eastAsia="Times New Roman" w:hAnsi="Verdana" w:cs="Arial"/>
          <w:sz w:val="18"/>
          <w:szCs w:val="18"/>
        </w:rPr>
        <w:t xml:space="preserve"> statutory audit, </w:t>
      </w:r>
      <w:r w:rsidR="00A2523F">
        <w:rPr>
          <w:rFonts w:ascii="Verdana" w:eastAsia="Times New Roman" w:hAnsi="Verdana" w:cs="Arial"/>
          <w:sz w:val="18"/>
          <w:szCs w:val="18"/>
        </w:rPr>
        <w:t>we</w:t>
      </w:r>
      <w:r w:rsidR="00CB2EFE" w:rsidRPr="0045272E">
        <w:rPr>
          <w:rFonts w:ascii="Verdana" w:eastAsia="Times New Roman" w:hAnsi="Verdana" w:cs="Arial"/>
          <w:sz w:val="18"/>
          <w:szCs w:val="18"/>
        </w:rPr>
        <w:t xml:space="preserve"> should consider whether the results of these procedures are relevant for such audit.</w:t>
      </w:r>
    </w:p>
    <w:p w14:paraId="34506CB0" w14:textId="77777777" w:rsidR="00CB2EFE" w:rsidRPr="0045272E" w:rsidRDefault="00CB2EFE" w:rsidP="00CB2EFE">
      <w:pPr>
        <w:ind w:left="810"/>
        <w:rPr>
          <w:rFonts w:ascii="Verdana" w:eastAsia="Times New Roman" w:hAnsi="Verdana" w:cs="Arial"/>
          <w:sz w:val="18"/>
          <w:szCs w:val="18"/>
        </w:rPr>
      </w:pPr>
    </w:p>
    <w:p w14:paraId="1CE59BFA" w14:textId="19EED78E" w:rsidR="00A2523F" w:rsidRDefault="00A2523F" w:rsidP="00A2523F">
      <w:pPr>
        <w:ind w:left="810"/>
        <w:rPr>
          <w:rFonts w:ascii="Verdana" w:eastAsia="Times New Roman" w:hAnsi="Verdana" w:cs="Arial"/>
          <w:sz w:val="18"/>
          <w:szCs w:val="18"/>
        </w:rPr>
      </w:pPr>
      <w:r w:rsidRPr="00E2796B">
        <w:rPr>
          <w:rFonts w:ascii="Verdana" w:eastAsia="Times New Roman" w:hAnsi="Verdana" w:cs="Arial"/>
          <w:sz w:val="18"/>
          <w:szCs w:val="18"/>
        </w:rPr>
        <w:t>Following are the procedures that were performed using International Standards of Auditing (ISA) the requirements of the DTTL Audit Approach Manual</w:t>
      </w:r>
      <w:r>
        <w:rPr>
          <w:rFonts w:ascii="Verdana" w:eastAsia="Times New Roman" w:hAnsi="Verdana" w:cs="Arial"/>
          <w:sz w:val="18"/>
          <w:szCs w:val="18"/>
        </w:rPr>
        <w:t xml:space="preserve"> and the findings.</w:t>
      </w:r>
    </w:p>
    <w:p w14:paraId="7AD01409" w14:textId="77777777" w:rsidR="00A2523F" w:rsidRDefault="00A2523F" w:rsidP="00A2523F">
      <w:pPr>
        <w:ind w:left="810"/>
        <w:rPr>
          <w:rFonts w:ascii="Verdana" w:eastAsia="Times New Roman" w:hAnsi="Verdana" w:cs="Arial"/>
          <w:sz w:val="18"/>
          <w:szCs w:val="18"/>
        </w:rPr>
      </w:pPr>
    </w:p>
    <w:p w14:paraId="21907701" w14:textId="77777777" w:rsidR="00CB2EFE" w:rsidRDefault="00CB2EFE" w:rsidP="00CB2EFE">
      <w:pPr>
        <w:ind w:left="810"/>
        <w:rPr>
          <w:rFonts w:ascii="Verdana" w:eastAsia="Times New Roman" w:hAnsi="Verdana" w:cs="Arial"/>
          <w:b/>
          <w:sz w:val="18"/>
          <w:szCs w:val="18"/>
        </w:rPr>
      </w:pPr>
      <w:r w:rsidRPr="0045272E">
        <w:rPr>
          <w:rFonts w:ascii="Verdana" w:eastAsia="Times New Roman" w:hAnsi="Verdana" w:cs="Arial"/>
          <w:b/>
          <w:sz w:val="18"/>
          <w:szCs w:val="18"/>
        </w:rPr>
        <w:t>Relevant Application Systems and Technology Elements</w:t>
      </w:r>
    </w:p>
    <w:p w14:paraId="3E321CC8" w14:textId="77777777" w:rsidR="00CB2EFE" w:rsidRPr="0045272E" w:rsidRDefault="00CB2EFE" w:rsidP="00CB2EFE">
      <w:pPr>
        <w:ind w:left="240"/>
        <w:rPr>
          <w:rFonts w:ascii="Verdana" w:eastAsia="Times New Roman" w:hAnsi="Verdana" w:cs="Arial"/>
          <w:b/>
          <w:sz w:val="18"/>
          <w:szCs w:val="18"/>
        </w:rPr>
      </w:pPr>
    </w:p>
    <w:p w14:paraId="23870012" w14:textId="77777777" w:rsidR="00CB2EFE" w:rsidRPr="0045272E" w:rsidRDefault="00CB2EFE" w:rsidP="00CB2EFE">
      <w:pPr>
        <w:ind w:left="810"/>
        <w:rPr>
          <w:rFonts w:ascii="Verdana" w:eastAsia="Times New Roman" w:hAnsi="Verdana" w:cs="Arial"/>
          <w:sz w:val="18"/>
          <w:szCs w:val="18"/>
        </w:rPr>
      </w:pPr>
      <w:r w:rsidRPr="0045272E">
        <w:rPr>
          <w:rFonts w:ascii="Verdana" w:eastAsia="Times New Roman" w:hAnsi="Verdana" w:cs="Arial"/>
          <w:sz w:val="18"/>
          <w:szCs w:val="18"/>
        </w:rPr>
        <w:t>The relevant application systems (including underlying databases and infrastructure) included in our general IT controls testing are as follows:</w:t>
      </w:r>
    </w:p>
    <w:p w14:paraId="0D1A7D19" w14:textId="77777777" w:rsidR="00CB2EFE" w:rsidRPr="0045272E" w:rsidRDefault="00CB2EFE" w:rsidP="00CB2EFE">
      <w:pPr>
        <w:ind w:left="240"/>
        <w:rPr>
          <w:rFonts w:ascii="Verdana" w:eastAsia="Times New Roman" w:hAnsi="Verdana" w:cs="Arial"/>
          <w:b/>
          <w:sz w:val="18"/>
          <w:szCs w:val="18"/>
        </w:rPr>
      </w:pPr>
    </w:p>
    <w:tbl>
      <w:tblPr>
        <w:tblW w:w="4500" w:type="pct"/>
        <w:tblInd w:w="800" w:type="dxa"/>
        <w:tblBorders>
          <w:top w:val="single" w:sz="8" w:space="0" w:color="777777"/>
          <w:left w:val="single" w:sz="8" w:space="0" w:color="777777"/>
          <w:bottom w:val="single" w:sz="8" w:space="0" w:color="777777"/>
          <w:right w:val="single" w:sz="8" w:space="0" w:color="777777"/>
        </w:tblBorders>
        <w:tblCellMar>
          <w:top w:w="240" w:type="dxa"/>
          <w:left w:w="30" w:type="dxa"/>
          <w:bottom w:w="30" w:type="dxa"/>
          <w:right w:w="30" w:type="dxa"/>
        </w:tblCellMar>
        <w:tblLook w:val="04A0" w:firstRow="1" w:lastRow="0" w:firstColumn="1" w:lastColumn="0" w:noHBand="0" w:noVBand="1"/>
      </w:tblPr>
      <w:tblGrid>
        <w:gridCol w:w="1599"/>
        <w:gridCol w:w="3136"/>
        <w:gridCol w:w="1089"/>
        <w:gridCol w:w="1324"/>
        <w:gridCol w:w="1258"/>
      </w:tblGrid>
      <w:tr w:rsidR="00CB2EFE" w:rsidRPr="0045272E" w14:paraId="2B584E15" w14:textId="77777777" w:rsidTr="00BA49C5">
        <w:trPr>
          <w:tblHeader/>
        </w:trPr>
        <w:tc>
          <w:tcPr>
            <w:tcW w:w="0" w:type="auto"/>
            <w:tcBorders>
              <w:top w:val="single" w:sz="8" w:space="0" w:color="777777"/>
              <w:left w:val="single" w:sz="8" w:space="0" w:color="777777"/>
              <w:bottom w:val="single" w:sz="8" w:space="0" w:color="777777"/>
              <w:right w:val="single" w:sz="8" w:space="0" w:color="777777"/>
            </w:tcBorders>
            <w:shd w:val="clear" w:color="auto" w:fill="DEDEDE"/>
            <w:tcMar>
              <w:top w:w="72" w:type="dxa"/>
              <w:left w:w="72" w:type="dxa"/>
              <w:bottom w:w="72" w:type="dxa"/>
              <w:right w:w="72" w:type="dxa"/>
            </w:tcMar>
            <w:vAlign w:val="bottom"/>
            <w:hideMark/>
          </w:tcPr>
          <w:p w14:paraId="4C3DD14B" w14:textId="77777777" w:rsidR="00CB2EFE" w:rsidRPr="0045272E" w:rsidRDefault="00CB2EFE" w:rsidP="00BA49C5">
            <w:pPr>
              <w:spacing w:before="240"/>
              <w:jc w:val="center"/>
              <w:rPr>
                <w:rFonts w:ascii="Verdana" w:eastAsia="Times New Roman" w:hAnsi="Verdana" w:cs="Arial"/>
                <w:b/>
                <w:bCs/>
                <w:sz w:val="18"/>
                <w:szCs w:val="18"/>
              </w:rPr>
            </w:pPr>
            <w:r w:rsidRPr="0045272E">
              <w:rPr>
                <w:rFonts w:ascii="Verdana" w:eastAsia="Times New Roman" w:hAnsi="Verdana" w:cs="Arial"/>
                <w:b/>
                <w:bCs/>
                <w:sz w:val="18"/>
                <w:szCs w:val="18"/>
              </w:rPr>
              <w:t>Application System Name(s)</w:t>
            </w:r>
          </w:p>
        </w:tc>
        <w:tc>
          <w:tcPr>
            <w:tcW w:w="0" w:type="auto"/>
            <w:tcBorders>
              <w:top w:val="single" w:sz="8" w:space="0" w:color="777777"/>
              <w:left w:val="single" w:sz="8" w:space="0" w:color="777777"/>
              <w:bottom w:val="single" w:sz="8" w:space="0" w:color="777777"/>
              <w:right w:val="single" w:sz="8" w:space="0" w:color="777777"/>
            </w:tcBorders>
            <w:shd w:val="clear" w:color="auto" w:fill="DEDEDE"/>
            <w:tcMar>
              <w:top w:w="72" w:type="dxa"/>
              <w:left w:w="72" w:type="dxa"/>
              <w:bottom w:w="72" w:type="dxa"/>
              <w:right w:w="72" w:type="dxa"/>
            </w:tcMar>
            <w:vAlign w:val="bottom"/>
            <w:hideMark/>
          </w:tcPr>
          <w:p w14:paraId="7A930056" w14:textId="77777777" w:rsidR="00CB2EFE" w:rsidRPr="0045272E" w:rsidRDefault="00CB2EFE" w:rsidP="00BA49C5">
            <w:pPr>
              <w:spacing w:before="240"/>
              <w:jc w:val="center"/>
              <w:rPr>
                <w:rFonts w:ascii="Verdana" w:eastAsia="Times New Roman" w:hAnsi="Verdana" w:cs="Arial"/>
                <w:b/>
                <w:bCs/>
                <w:sz w:val="18"/>
                <w:szCs w:val="18"/>
              </w:rPr>
            </w:pPr>
            <w:r w:rsidRPr="0045272E">
              <w:rPr>
                <w:rFonts w:ascii="Verdana" w:eastAsia="Times New Roman" w:hAnsi="Verdana" w:cs="Arial"/>
                <w:b/>
                <w:bCs/>
                <w:sz w:val="18"/>
                <w:szCs w:val="18"/>
              </w:rPr>
              <w:t>Application Description</w:t>
            </w:r>
          </w:p>
        </w:tc>
        <w:tc>
          <w:tcPr>
            <w:tcW w:w="0" w:type="auto"/>
            <w:tcBorders>
              <w:top w:val="single" w:sz="8" w:space="0" w:color="777777"/>
              <w:left w:val="single" w:sz="8" w:space="0" w:color="777777"/>
              <w:bottom w:val="single" w:sz="8" w:space="0" w:color="777777"/>
              <w:right w:val="single" w:sz="8" w:space="0" w:color="777777"/>
            </w:tcBorders>
            <w:shd w:val="clear" w:color="auto" w:fill="DEDEDE"/>
            <w:tcMar>
              <w:top w:w="72" w:type="dxa"/>
              <w:left w:w="72" w:type="dxa"/>
              <w:bottom w:w="72" w:type="dxa"/>
              <w:right w:w="72" w:type="dxa"/>
            </w:tcMar>
            <w:vAlign w:val="bottom"/>
            <w:hideMark/>
          </w:tcPr>
          <w:p w14:paraId="7480D821" w14:textId="77777777" w:rsidR="00CB2EFE" w:rsidRPr="0045272E" w:rsidRDefault="00CB2EFE" w:rsidP="00BA49C5">
            <w:pPr>
              <w:spacing w:before="240"/>
              <w:jc w:val="center"/>
              <w:rPr>
                <w:rFonts w:ascii="Verdana" w:eastAsia="Times New Roman" w:hAnsi="Verdana" w:cs="Arial"/>
                <w:b/>
                <w:bCs/>
                <w:sz w:val="18"/>
                <w:szCs w:val="18"/>
              </w:rPr>
            </w:pPr>
            <w:r w:rsidRPr="0045272E">
              <w:rPr>
                <w:rFonts w:ascii="Verdana" w:eastAsia="Times New Roman" w:hAnsi="Verdana" w:cs="Arial"/>
                <w:b/>
                <w:bCs/>
                <w:sz w:val="18"/>
                <w:szCs w:val="18"/>
              </w:rPr>
              <w:t>Database</w:t>
            </w:r>
          </w:p>
        </w:tc>
        <w:tc>
          <w:tcPr>
            <w:tcW w:w="0" w:type="auto"/>
            <w:tcBorders>
              <w:top w:val="single" w:sz="8" w:space="0" w:color="777777"/>
              <w:left w:val="single" w:sz="8" w:space="0" w:color="777777"/>
              <w:bottom w:val="single" w:sz="8" w:space="0" w:color="777777"/>
              <w:right w:val="single" w:sz="8" w:space="0" w:color="777777"/>
            </w:tcBorders>
            <w:shd w:val="clear" w:color="auto" w:fill="DEDEDE"/>
            <w:tcMar>
              <w:top w:w="72" w:type="dxa"/>
              <w:left w:w="72" w:type="dxa"/>
              <w:bottom w:w="72" w:type="dxa"/>
              <w:right w:w="72" w:type="dxa"/>
            </w:tcMar>
            <w:vAlign w:val="bottom"/>
            <w:hideMark/>
          </w:tcPr>
          <w:p w14:paraId="0DF0519E" w14:textId="77777777" w:rsidR="00CB2EFE" w:rsidRPr="0045272E" w:rsidRDefault="00CB2EFE" w:rsidP="00BA49C5">
            <w:pPr>
              <w:spacing w:before="240"/>
              <w:jc w:val="center"/>
              <w:rPr>
                <w:rFonts w:ascii="Verdana" w:eastAsia="Times New Roman" w:hAnsi="Verdana" w:cs="Arial"/>
                <w:b/>
                <w:bCs/>
                <w:sz w:val="18"/>
                <w:szCs w:val="18"/>
              </w:rPr>
            </w:pPr>
            <w:r w:rsidRPr="0045272E">
              <w:rPr>
                <w:rFonts w:ascii="Verdana" w:eastAsia="Times New Roman" w:hAnsi="Verdana" w:cs="Arial"/>
                <w:b/>
                <w:bCs/>
                <w:sz w:val="18"/>
                <w:szCs w:val="18"/>
              </w:rPr>
              <w:t xml:space="preserve">Operating System </w:t>
            </w:r>
          </w:p>
        </w:tc>
        <w:tc>
          <w:tcPr>
            <w:tcW w:w="0" w:type="auto"/>
            <w:tcBorders>
              <w:top w:val="single" w:sz="8" w:space="0" w:color="777777"/>
              <w:left w:val="single" w:sz="8" w:space="0" w:color="777777"/>
              <w:bottom w:val="single" w:sz="8" w:space="0" w:color="777777"/>
              <w:right w:val="single" w:sz="8" w:space="0" w:color="777777"/>
            </w:tcBorders>
            <w:shd w:val="clear" w:color="auto" w:fill="DEDEDE"/>
            <w:tcMar>
              <w:top w:w="72" w:type="dxa"/>
              <w:left w:w="72" w:type="dxa"/>
              <w:bottom w:w="72" w:type="dxa"/>
              <w:right w:w="72" w:type="dxa"/>
            </w:tcMar>
            <w:vAlign w:val="bottom"/>
            <w:hideMark/>
          </w:tcPr>
          <w:p w14:paraId="5777D5F7" w14:textId="77777777" w:rsidR="00CB2EFE" w:rsidRPr="0045272E" w:rsidRDefault="00CB2EFE" w:rsidP="00BA49C5">
            <w:pPr>
              <w:spacing w:before="240"/>
              <w:jc w:val="center"/>
              <w:rPr>
                <w:rFonts w:ascii="Verdana" w:eastAsia="Times New Roman" w:hAnsi="Verdana" w:cs="Arial"/>
                <w:b/>
                <w:bCs/>
                <w:sz w:val="18"/>
                <w:szCs w:val="18"/>
              </w:rPr>
            </w:pPr>
            <w:r w:rsidRPr="0045272E">
              <w:rPr>
                <w:rFonts w:ascii="Verdana" w:eastAsia="Times New Roman" w:hAnsi="Verdana" w:cs="Arial"/>
                <w:b/>
                <w:bCs/>
                <w:sz w:val="18"/>
                <w:szCs w:val="18"/>
              </w:rPr>
              <w:t>Data Center Location</w:t>
            </w:r>
          </w:p>
        </w:tc>
      </w:tr>
      <w:tr w:rsidR="00CB2EFE" w:rsidRPr="0045272E" w14:paraId="79E92479" w14:textId="77777777" w:rsidTr="00BA49C5">
        <w:trPr>
          <w:trHeight w:val="191"/>
        </w:trPr>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75B83DF0" w14:textId="08926874" w:rsidR="00CB2EFE" w:rsidRPr="0045272E" w:rsidRDefault="00B53840" w:rsidP="00BA49C5">
            <w:pPr>
              <w:spacing w:before="240"/>
              <w:jc w:val="center"/>
              <w:rPr>
                <w:rFonts w:ascii="Verdana" w:eastAsia="Times New Roman" w:hAnsi="Verdana" w:cs="Arial"/>
                <w:sz w:val="18"/>
                <w:szCs w:val="18"/>
              </w:rPr>
            </w:pPr>
            <w:r w:rsidRPr="00B53840">
              <w:rPr>
                <w:rFonts w:ascii="Verdana" w:eastAsia="Times New Roman" w:hAnsi="Verdana" w:cs="Arial"/>
                <w:sz w:val="18"/>
                <w:szCs w:val="18"/>
              </w:rPr>
              <w:t>SAP ECC 6.0 Application</w:t>
            </w:r>
          </w:p>
        </w:tc>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382D16E0" w14:textId="42D3280D" w:rsidR="00CB2EFE" w:rsidRPr="0045272E" w:rsidRDefault="00B53840" w:rsidP="00BA49C5">
            <w:pPr>
              <w:spacing w:before="240"/>
              <w:jc w:val="center"/>
              <w:rPr>
                <w:rFonts w:ascii="Verdana" w:eastAsia="Times New Roman" w:hAnsi="Verdana" w:cs="Arial"/>
                <w:sz w:val="18"/>
                <w:szCs w:val="18"/>
              </w:rPr>
            </w:pPr>
            <w:r w:rsidRPr="00B53840">
              <w:rPr>
                <w:rFonts w:ascii="Verdana" w:eastAsia="Times New Roman" w:hAnsi="Verdana" w:cs="Arial"/>
                <w:sz w:val="18"/>
                <w:szCs w:val="18"/>
              </w:rPr>
              <w:t>Procure to Pay, Order to Cash, Production and Inventory, Property, Plant and Equipment and Period End Financial Reporting</w:t>
            </w:r>
          </w:p>
        </w:tc>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34D35E6D" w14:textId="2466FB1E" w:rsidR="00CB2EFE" w:rsidRPr="0045272E" w:rsidRDefault="00B53840" w:rsidP="00BA49C5">
            <w:pPr>
              <w:spacing w:before="240"/>
              <w:jc w:val="center"/>
              <w:rPr>
                <w:rFonts w:ascii="Verdana" w:eastAsia="Times New Roman" w:hAnsi="Verdana" w:cs="Arial"/>
                <w:sz w:val="18"/>
                <w:szCs w:val="18"/>
              </w:rPr>
            </w:pPr>
            <w:r>
              <w:rPr>
                <w:rFonts w:ascii="Verdana" w:eastAsia="Times New Roman" w:hAnsi="Verdana" w:cs="Arial"/>
                <w:sz w:val="18"/>
                <w:szCs w:val="18"/>
              </w:rPr>
              <w:t>SQL-2008</w:t>
            </w:r>
          </w:p>
        </w:tc>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2BDA4747" w14:textId="48FC4C61" w:rsidR="00CB2EFE" w:rsidRPr="0045272E" w:rsidRDefault="00B53840" w:rsidP="00BA49C5">
            <w:pPr>
              <w:spacing w:before="240"/>
              <w:jc w:val="center"/>
              <w:rPr>
                <w:rFonts w:ascii="Verdana" w:eastAsia="Times New Roman" w:hAnsi="Verdana" w:cs="Arial"/>
                <w:sz w:val="18"/>
                <w:szCs w:val="18"/>
              </w:rPr>
            </w:pPr>
            <w:r>
              <w:rPr>
                <w:rFonts w:ascii="Verdana" w:eastAsia="Times New Roman" w:hAnsi="Verdana" w:cs="Arial"/>
                <w:sz w:val="18"/>
                <w:szCs w:val="18"/>
              </w:rPr>
              <w:t>Windows Server 2008</w:t>
            </w:r>
          </w:p>
        </w:tc>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6FED33CD" w14:textId="17353F09" w:rsidR="00CB2EFE" w:rsidRPr="0045272E" w:rsidRDefault="00B53840" w:rsidP="00BA49C5">
            <w:pPr>
              <w:spacing w:before="240"/>
              <w:jc w:val="center"/>
              <w:rPr>
                <w:rFonts w:ascii="Verdana" w:eastAsia="Times New Roman" w:hAnsi="Verdana" w:cs="Arial"/>
                <w:sz w:val="18"/>
                <w:szCs w:val="18"/>
              </w:rPr>
            </w:pPr>
            <w:r>
              <w:rPr>
                <w:rFonts w:ascii="Verdana" w:eastAsia="Times New Roman" w:hAnsi="Verdana" w:cs="Arial"/>
                <w:sz w:val="18"/>
                <w:szCs w:val="18"/>
              </w:rPr>
              <w:t>Hongkong</w:t>
            </w:r>
          </w:p>
        </w:tc>
      </w:tr>
    </w:tbl>
    <w:p w14:paraId="1C3CC196" w14:textId="77777777" w:rsidR="00CB2EFE" w:rsidRDefault="00CB2EFE" w:rsidP="00CB2EFE">
      <w:pPr>
        <w:ind w:left="240"/>
        <w:rPr>
          <w:rFonts w:ascii="Verdana" w:eastAsia="Times New Roman" w:hAnsi="Verdana" w:cs="Arial"/>
          <w:b/>
          <w:sz w:val="18"/>
          <w:szCs w:val="18"/>
        </w:rPr>
      </w:pPr>
    </w:p>
    <w:p w14:paraId="61DB5A07" w14:textId="77777777" w:rsidR="00CB2EFE" w:rsidRDefault="00CB2EFE" w:rsidP="00CB2EFE">
      <w:pPr>
        <w:ind w:left="810"/>
        <w:rPr>
          <w:rFonts w:ascii="Verdana" w:eastAsia="Times New Roman" w:hAnsi="Verdana" w:cs="Arial"/>
          <w:b/>
          <w:sz w:val="18"/>
          <w:szCs w:val="18"/>
        </w:rPr>
      </w:pPr>
      <w:r w:rsidRPr="0045272E">
        <w:rPr>
          <w:rFonts w:ascii="Verdana" w:eastAsia="Times New Roman" w:hAnsi="Verdana" w:cs="Arial"/>
          <w:b/>
          <w:sz w:val="18"/>
          <w:szCs w:val="18"/>
        </w:rPr>
        <w:t>Risks Arising from Information Technology (RAITs)</w:t>
      </w:r>
    </w:p>
    <w:p w14:paraId="3719A3C6" w14:textId="77777777" w:rsidR="00CB2EFE" w:rsidRPr="0045272E" w:rsidRDefault="00CB2EFE" w:rsidP="00CB2EFE">
      <w:pPr>
        <w:ind w:left="240"/>
        <w:rPr>
          <w:rFonts w:ascii="Verdana" w:eastAsia="Times New Roman" w:hAnsi="Verdana" w:cs="Arial"/>
          <w:b/>
          <w:sz w:val="18"/>
          <w:szCs w:val="18"/>
        </w:rPr>
      </w:pPr>
    </w:p>
    <w:p w14:paraId="6DACA59D" w14:textId="77777777" w:rsidR="00CB2EFE" w:rsidRDefault="00CB2EFE" w:rsidP="00CB2EFE">
      <w:pPr>
        <w:ind w:left="810"/>
        <w:rPr>
          <w:rFonts w:ascii="Verdana" w:eastAsia="Times New Roman" w:hAnsi="Verdana" w:cs="Arial"/>
          <w:sz w:val="18"/>
          <w:szCs w:val="18"/>
        </w:rPr>
      </w:pPr>
      <w:r w:rsidRPr="00C85B93">
        <w:rPr>
          <w:rFonts w:ascii="Verdana" w:eastAsia="Times New Roman" w:hAnsi="Verdana" w:cs="Arial"/>
          <w:sz w:val="18"/>
          <w:szCs w:val="18"/>
        </w:rPr>
        <w:t>We identified and assessed RAITs for each application system and associated technology elements stated herein based on our understanding of the role of information technology (IT) in the Group’s flows of transactions, including obtaining an understanding of the IT environment. We identified relevant controls that address the risks for each application system and associated technology elements. The RAITs are as follows.</w:t>
      </w:r>
    </w:p>
    <w:p w14:paraId="0ECF646A" w14:textId="211ED616" w:rsidR="00CB2EFE" w:rsidRDefault="00CB2EFE" w:rsidP="00771460">
      <w:pPr>
        <w:rPr>
          <w:rFonts w:ascii="Verdana" w:eastAsia="Times New Roman" w:hAnsi="Verdana" w:cs="Arial"/>
          <w:sz w:val="18"/>
          <w:szCs w:val="18"/>
        </w:rPr>
      </w:pPr>
    </w:p>
    <w:p w14:paraId="454BE4AA" w14:textId="77777777" w:rsidR="00CB2EFE" w:rsidRPr="00C85B93" w:rsidRDefault="00CB2EFE" w:rsidP="00CB2EFE">
      <w:pPr>
        <w:ind w:left="810"/>
        <w:rPr>
          <w:rFonts w:ascii="Verdana" w:eastAsia="Times New Roman" w:hAnsi="Verdana" w:cs="Arial"/>
          <w:sz w:val="18"/>
          <w:szCs w:val="18"/>
        </w:rPr>
      </w:pPr>
    </w:p>
    <w:tbl>
      <w:tblPr>
        <w:tblW w:w="4500" w:type="pct"/>
        <w:tblInd w:w="800" w:type="dxa"/>
        <w:tblBorders>
          <w:top w:val="single" w:sz="8" w:space="0" w:color="777777"/>
          <w:left w:val="single" w:sz="8" w:space="0" w:color="777777"/>
          <w:bottom w:val="single" w:sz="8" w:space="0" w:color="777777"/>
          <w:right w:val="single" w:sz="8" w:space="0" w:color="777777"/>
        </w:tblBorders>
        <w:tblCellMar>
          <w:top w:w="240" w:type="dxa"/>
          <w:left w:w="30" w:type="dxa"/>
          <w:bottom w:w="30" w:type="dxa"/>
          <w:right w:w="30" w:type="dxa"/>
        </w:tblCellMar>
        <w:tblLook w:val="04A0" w:firstRow="1" w:lastRow="0" w:firstColumn="1" w:lastColumn="0" w:noHBand="0" w:noVBand="1"/>
      </w:tblPr>
      <w:tblGrid>
        <w:gridCol w:w="1675"/>
        <w:gridCol w:w="6731"/>
      </w:tblGrid>
      <w:tr w:rsidR="00CB2EFE" w:rsidRPr="0045272E" w14:paraId="3FFF6F20" w14:textId="77777777" w:rsidTr="00BA49C5">
        <w:trPr>
          <w:tblHeader/>
        </w:trPr>
        <w:tc>
          <w:tcPr>
            <w:tcW w:w="0" w:type="auto"/>
            <w:tcBorders>
              <w:top w:val="single" w:sz="8" w:space="0" w:color="777777"/>
              <w:left w:val="single" w:sz="8" w:space="0" w:color="777777"/>
              <w:bottom w:val="single" w:sz="8" w:space="0" w:color="777777"/>
              <w:right w:val="single" w:sz="8" w:space="0" w:color="777777"/>
            </w:tcBorders>
            <w:shd w:val="clear" w:color="auto" w:fill="DEDEDE"/>
            <w:tcMar>
              <w:top w:w="72" w:type="dxa"/>
              <w:left w:w="72" w:type="dxa"/>
              <w:bottom w:w="72" w:type="dxa"/>
              <w:right w:w="72" w:type="dxa"/>
            </w:tcMar>
            <w:vAlign w:val="bottom"/>
            <w:hideMark/>
          </w:tcPr>
          <w:p w14:paraId="0B902368" w14:textId="77777777" w:rsidR="00CB2EFE" w:rsidRPr="0045272E" w:rsidRDefault="00CB2EFE" w:rsidP="00BA49C5">
            <w:pPr>
              <w:spacing w:before="240"/>
              <w:jc w:val="center"/>
              <w:rPr>
                <w:rFonts w:ascii="Verdana" w:eastAsia="Times New Roman" w:hAnsi="Verdana" w:cs="Arial"/>
                <w:b/>
                <w:bCs/>
                <w:sz w:val="18"/>
                <w:szCs w:val="18"/>
              </w:rPr>
            </w:pPr>
            <w:r w:rsidRPr="0045272E">
              <w:rPr>
                <w:rFonts w:ascii="Verdana" w:eastAsia="Times New Roman" w:hAnsi="Verdana" w:cs="Arial"/>
                <w:b/>
                <w:bCs/>
                <w:sz w:val="18"/>
                <w:szCs w:val="18"/>
              </w:rPr>
              <w:t>IT Control Area</w:t>
            </w:r>
          </w:p>
        </w:tc>
        <w:tc>
          <w:tcPr>
            <w:tcW w:w="0" w:type="auto"/>
            <w:tcBorders>
              <w:top w:val="single" w:sz="8" w:space="0" w:color="777777"/>
              <w:left w:val="single" w:sz="8" w:space="0" w:color="777777"/>
              <w:bottom w:val="single" w:sz="8" w:space="0" w:color="777777"/>
              <w:right w:val="single" w:sz="8" w:space="0" w:color="777777"/>
            </w:tcBorders>
            <w:shd w:val="clear" w:color="auto" w:fill="DEDEDE"/>
            <w:tcMar>
              <w:top w:w="72" w:type="dxa"/>
              <w:left w:w="72" w:type="dxa"/>
              <w:bottom w:w="72" w:type="dxa"/>
              <w:right w:w="72" w:type="dxa"/>
            </w:tcMar>
            <w:vAlign w:val="bottom"/>
            <w:hideMark/>
          </w:tcPr>
          <w:p w14:paraId="33AAF17F" w14:textId="77777777" w:rsidR="00CB2EFE" w:rsidRPr="0045272E" w:rsidRDefault="00CB2EFE" w:rsidP="00BA49C5">
            <w:pPr>
              <w:spacing w:before="240"/>
              <w:jc w:val="center"/>
              <w:rPr>
                <w:rFonts w:ascii="Verdana" w:eastAsia="Times New Roman" w:hAnsi="Verdana" w:cs="Arial"/>
                <w:b/>
                <w:bCs/>
                <w:sz w:val="18"/>
                <w:szCs w:val="18"/>
              </w:rPr>
            </w:pPr>
            <w:r w:rsidRPr="0045272E">
              <w:rPr>
                <w:rFonts w:ascii="Verdana" w:eastAsia="Times New Roman" w:hAnsi="Verdana" w:cs="Arial"/>
                <w:b/>
                <w:bCs/>
                <w:sz w:val="18"/>
                <w:szCs w:val="18"/>
              </w:rPr>
              <w:t>Risk Arising from IT</w:t>
            </w:r>
          </w:p>
        </w:tc>
      </w:tr>
      <w:tr w:rsidR="00CB2EFE" w:rsidRPr="0045272E" w14:paraId="5B8456E3" w14:textId="77777777" w:rsidTr="00BA49C5">
        <w:trPr>
          <w:trHeight w:val="191"/>
        </w:trPr>
        <w:tc>
          <w:tcPr>
            <w:tcW w:w="0" w:type="auto"/>
            <w:vMerge w:val="restart"/>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4556FE3C" w14:textId="77777777" w:rsidR="00CB2EFE" w:rsidRPr="00C85B93" w:rsidRDefault="00CB2EFE" w:rsidP="00BA49C5">
            <w:pPr>
              <w:spacing w:before="240"/>
              <w:rPr>
                <w:rFonts w:ascii="Verdana" w:eastAsia="Times New Roman" w:hAnsi="Verdana" w:cs="Arial"/>
                <w:sz w:val="18"/>
                <w:szCs w:val="18"/>
              </w:rPr>
            </w:pPr>
            <w:r w:rsidRPr="00C85B93">
              <w:rPr>
                <w:rFonts w:ascii="Verdana" w:eastAsia="Times New Roman" w:hAnsi="Verdana" w:cs="Arial"/>
                <w:sz w:val="18"/>
                <w:szCs w:val="18"/>
              </w:rPr>
              <w:t>Access Security</w:t>
            </w:r>
          </w:p>
        </w:tc>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356414F2" w14:textId="77777777" w:rsidR="00CB2EFE" w:rsidRPr="00C85B93" w:rsidRDefault="00CB2EFE" w:rsidP="00BA49C5">
            <w:pPr>
              <w:spacing w:before="240"/>
              <w:rPr>
                <w:rFonts w:ascii="Verdana" w:eastAsia="Times New Roman" w:hAnsi="Verdana" w:cs="Arial"/>
                <w:sz w:val="18"/>
                <w:szCs w:val="18"/>
              </w:rPr>
            </w:pPr>
            <w:r w:rsidRPr="00C85B93">
              <w:rPr>
                <w:rFonts w:ascii="Verdana" w:eastAsia="Times New Roman" w:hAnsi="Verdana" w:cs="Arial"/>
                <w:sz w:val="18"/>
                <w:szCs w:val="18"/>
              </w:rPr>
              <w:t>Users have access privileges beyond those necessary to perform their assigned duties, which may create improper segregation of duties.</w:t>
            </w:r>
          </w:p>
        </w:tc>
      </w:tr>
      <w:tr w:rsidR="00CB2EFE" w:rsidRPr="0045272E" w14:paraId="4BFB7EF8" w14:textId="77777777" w:rsidTr="00BA49C5">
        <w:trPr>
          <w:trHeight w:val="191"/>
        </w:trPr>
        <w:tc>
          <w:tcPr>
            <w:tcW w:w="0" w:type="auto"/>
            <w:vMerge/>
            <w:tcBorders>
              <w:top w:val="single" w:sz="8" w:space="0" w:color="777777"/>
              <w:left w:val="single" w:sz="8" w:space="0" w:color="777777"/>
              <w:bottom w:val="single" w:sz="8" w:space="0" w:color="777777"/>
              <w:right w:val="single" w:sz="8" w:space="0" w:color="777777"/>
            </w:tcBorders>
            <w:vAlign w:val="center"/>
            <w:hideMark/>
          </w:tcPr>
          <w:p w14:paraId="7F062D89" w14:textId="77777777" w:rsidR="00CB2EFE" w:rsidRPr="00C85B93" w:rsidRDefault="00CB2EFE" w:rsidP="00BA49C5">
            <w:pPr>
              <w:spacing w:before="240"/>
              <w:rPr>
                <w:rFonts w:ascii="Verdana" w:eastAsia="Times New Roman" w:hAnsi="Verdana" w:cs="Arial"/>
                <w:sz w:val="18"/>
                <w:szCs w:val="18"/>
              </w:rPr>
            </w:pPr>
          </w:p>
        </w:tc>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2B0DD044" w14:textId="77777777" w:rsidR="00CB2EFE" w:rsidRPr="00C85B93" w:rsidRDefault="00CB2EFE" w:rsidP="00BA49C5">
            <w:pPr>
              <w:spacing w:before="240"/>
              <w:rPr>
                <w:rFonts w:ascii="Verdana" w:eastAsia="Times New Roman" w:hAnsi="Verdana" w:cs="Arial"/>
                <w:sz w:val="18"/>
                <w:szCs w:val="18"/>
              </w:rPr>
            </w:pPr>
            <w:r w:rsidRPr="00C85B93">
              <w:rPr>
                <w:rFonts w:ascii="Verdana" w:eastAsia="Times New Roman" w:hAnsi="Verdana" w:cs="Arial"/>
                <w:sz w:val="18"/>
                <w:szCs w:val="18"/>
              </w:rPr>
              <w:t>Inappropriate changes are made directly to financial data through means other than application transactions.</w:t>
            </w:r>
          </w:p>
        </w:tc>
      </w:tr>
      <w:tr w:rsidR="00CB2EFE" w:rsidRPr="0045272E" w14:paraId="09B18DB3" w14:textId="77777777" w:rsidTr="00BA49C5">
        <w:trPr>
          <w:trHeight w:val="191"/>
        </w:trPr>
        <w:tc>
          <w:tcPr>
            <w:tcW w:w="0" w:type="auto"/>
            <w:vMerge/>
            <w:tcBorders>
              <w:top w:val="single" w:sz="8" w:space="0" w:color="777777"/>
              <w:left w:val="single" w:sz="8" w:space="0" w:color="777777"/>
              <w:bottom w:val="single" w:sz="8" w:space="0" w:color="777777"/>
              <w:right w:val="single" w:sz="8" w:space="0" w:color="777777"/>
            </w:tcBorders>
            <w:vAlign w:val="center"/>
            <w:hideMark/>
          </w:tcPr>
          <w:p w14:paraId="0A42C7C3" w14:textId="77777777" w:rsidR="00CB2EFE" w:rsidRPr="00C85B93" w:rsidRDefault="00CB2EFE" w:rsidP="00BA49C5">
            <w:pPr>
              <w:spacing w:before="240"/>
              <w:rPr>
                <w:rFonts w:ascii="Verdana" w:eastAsia="Times New Roman" w:hAnsi="Verdana" w:cs="Arial"/>
                <w:sz w:val="18"/>
                <w:szCs w:val="18"/>
              </w:rPr>
            </w:pPr>
          </w:p>
        </w:tc>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3EF64B3F" w14:textId="77777777" w:rsidR="00CB2EFE" w:rsidRPr="00C85B93" w:rsidRDefault="00CB2EFE" w:rsidP="00BA49C5">
            <w:pPr>
              <w:spacing w:before="240"/>
              <w:rPr>
                <w:rFonts w:ascii="Verdana" w:eastAsia="Times New Roman" w:hAnsi="Verdana" w:cs="Arial"/>
                <w:sz w:val="18"/>
                <w:szCs w:val="18"/>
              </w:rPr>
            </w:pPr>
            <w:r w:rsidRPr="00C85B93">
              <w:rPr>
                <w:rFonts w:ascii="Verdana" w:eastAsia="Times New Roman" w:hAnsi="Verdana" w:cs="Arial"/>
                <w:sz w:val="18"/>
                <w:szCs w:val="18"/>
              </w:rPr>
              <w:t>Systems are not adequately configured or updated to restrict system access to properly authorized and appropriate users.</w:t>
            </w:r>
          </w:p>
        </w:tc>
      </w:tr>
      <w:tr w:rsidR="00CB2EFE" w:rsidRPr="0045272E" w14:paraId="2558D722" w14:textId="77777777" w:rsidTr="00BA49C5">
        <w:trPr>
          <w:trHeight w:val="191"/>
        </w:trPr>
        <w:tc>
          <w:tcPr>
            <w:tcW w:w="0" w:type="auto"/>
            <w:vMerge w:val="restart"/>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7B95CF62" w14:textId="77777777" w:rsidR="00CB2EFE" w:rsidRPr="00C85B93" w:rsidRDefault="00CB2EFE" w:rsidP="00BA49C5">
            <w:pPr>
              <w:spacing w:before="240"/>
              <w:rPr>
                <w:rFonts w:ascii="Verdana" w:eastAsia="Times New Roman" w:hAnsi="Verdana" w:cs="Arial"/>
                <w:sz w:val="18"/>
                <w:szCs w:val="18"/>
              </w:rPr>
            </w:pPr>
            <w:r w:rsidRPr="00C85B93">
              <w:rPr>
                <w:rFonts w:ascii="Verdana" w:eastAsia="Times New Roman" w:hAnsi="Verdana" w:cs="Arial"/>
                <w:sz w:val="18"/>
                <w:szCs w:val="18"/>
              </w:rPr>
              <w:t>System Change Control</w:t>
            </w:r>
          </w:p>
        </w:tc>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3D41EE1E" w14:textId="77777777" w:rsidR="00CB2EFE" w:rsidRPr="00C85B93" w:rsidRDefault="00CB2EFE" w:rsidP="00BA49C5">
            <w:pPr>
              <w:spacing w:before="240"/>
              <w:rPr>
                <w:rFonts w:ascii="Verdana" w:eastAsia="Times New Roman" w:hAnsi="Verdana" w:cs="Arial"/>
                <w:sz w:val="18"/>
                <w:szCs w:val="18"/>
              </w:rPr>
            </w:pPr>
            <w:r w:rsidRPr="00C85B93">
              <w:rPr>
                <w:rFonts w:ascii="Verdana" w:eastAsia="Times New Roman" w:hAnsi="Verdana" w:cs="Arial"/>
                <w:sz w:val="18"/>
                <w:szCs w:val="18"/>
              </w:rPr>
              <w:t>Inappropriate changes are made to application systems or programs that contain relevant automated controls (i.e., configurable settings, automated algorithms, automated calculations, and automated data extraction) and/or report logic.</w:t>
            </w:r>
          </w:p>
        </w:tc>
      </w:tr>
      <w:tr w:rsidR="00CB2EFE" w:rsidRPr="0045272E" w14:paraId="25970401" w14:textId="77777777" w:rsidTr="00BA49C5">
        <w:trPr>
          <w:trHeight w:val="191"/>
        </w:trPr>
        <w:tc>
          <w:tcPr>
            <w:tcW w:w="0" w:type="auto"/>
            <w:vMerge/>
            <w:tcBorders>
              <w:top w:val="single" w:sz="8" w:space="0" w:color="777777"/>
              <w:left w:val="single" w:sz="8" w:space="0" w:color="777777"/>
              <w:bottom w:val="single" w:sz="8" w:space="0" w:color="777777"/>
              <w:right w:val="single" w:sz="8" w:space="0" w:color="777777"/>
            </w:tcBorders>
            <w:vAlign w:val="center"/>
            <w:hideMark/>
          </w:tcPr>
          <w:p w14:paraId="5C41EBD9" w14:textId="77777777" w:rsidR="00CB2EFE" w:rsidRPr="00C85B93" w:rsidRDefault="00CB2EFE" w:rsidP="00BA49C5">
            <w:pPr>
              <w:spacing w:before="240"/>
              <w:rPr>
                <w:rFonts w:ascii="Verdana" w:eastAsia="Times New Roman" w:hAnsi="Verdana" w:cs="Arial"/>
                <w:sz w:val="18"/>
                <w:szCs w:val="18"/>
              </w:rPr>
            </w:pPr>
          </w:p>
        </w:tc>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6801BC05" w14:textId="77777777" w:rsidR="00CB2EFE" w:rsidRPr="00C85B93" w:rsidRDefault="00CB2EFE" w:rsidP="00BA49C5">
            <w:pPr>
              <w:spacing w:before="240"/>
              <w:rPr>
                <w:rFonts w:ascii="Verdana" w:eastAsia="Times New Roman" w:hAnsi="Verdana" w:cs="Arial"/>
                <w:sz w:val="18"/>
                <w:szCs w:val="18"/>
              </w:rPr>
            </w:pPr>
            <w:r w:rsidRPr="00C85B93">
              <w:rPr>
                <w:rFonts w:ascii="Verdana" w:eastAsia="Times New Roman" w:hAnsi="Verdana" w:cs="Arial"/>
                <w:sz w:val="18"/>
                <w:szCs w:val="18"/>
              </w:rPr>
              <w:t>Inappropriate changes are made to the database structure and relationships between the data.</w:t>
            </w:r>
          </w:p>
        </w:tc>
      </w:tr>
      <w:tr w:rsidR="00CB2EFE" w:rsidRPr="0045272E" w14:paraId="56BDDA00" w14:textId="77777777" w:rsidTr="00BA49C5">
        <w:trPr>
          <w:trHeight w:val="191"/>
        </w:trPr>
        <w:tc>
          <w:tcPr>
            <w:tcW w:w="0" w:type="auto"/>
            <w:vMerge/>
            <w:tcBorders>
              <w:top w:val="single" w:sz="8" w:space="0" w:color="777777"/>
              <w:left w:val="single" w:sz="8" w:space="0" w:color="777777"/>
              <w:bottom w:val="single" w:sz="8" w:space="0" w:color="777777"/>
              <w:right w:val="single" w:sz="8" w:space="0" w:color="777777"/>
            </w:tcBorders>
            <w:vAlign w:val="center"/>
            <w:hideMark/>
          </w:tcPr>
          <w:p w14:paraId="2D815B54" w14:textId="77777777" w:rsidR="00CB2EFE" w:rsidRPr="00C85B93" w:rsidRDefault="00CB2EFE" w:rsidP="00BA49C5">
            <w:pPr>
              <w:spacing w:before="240"/>
              <w:rPr>
                <w:rFonts w:ascii="Verdana" w:eastAsia="Times New Roman" w:hAnsi="Verdana" w:cs="Arial"/>
                <w:sz w:val="18"/>
                <w:szCs w:val="18"/>
              </w:rPr>
            </w:pPr>
          </w:p>
        </w:tc>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56996B7F" w14:textId="77777777" w:rsidR="00CB2EFE" w:rsidRPr="00C85B93" w:rsidRDefault="00CB2EFE" w:rsidP="00BA49C5">
            <w:pPr>
              <w:spacing w:before="240"/>
              <w:rPr>
                <w:rFonts w:ascii="Verdana" w:eastAsia="Times New Roman" w:hAnsi="Verdana" w:cs="Arial"/>
                <w:sz w:val="18"/>
                <w:szCs w:val="18"/>
              </w:rPr>
            </w:pPr>
            <w:r w:rsidRPr="00C85B93">
              <w:rPr>
                <w:rFonts w:ascii="Verdana" w:eastAsia="Times New Roman" w:hAnsi="Verdana" w:cs="Arial"/>
                <w:sz w:val="18"/>
                <w:szCs w:val="18"/>
              </w:rPr>
              <w:t>Inappropriate changes are made to system software (e.g., operating system, network, change-management software, access-control software).</w:t>
            </w:r>
          </w:p>
        </w:tc>
      </w:tr>
      <w:tr w:rsidR="00CB2EFE" w:rsidRPr="0045272E" w14:paraId="5A43F435" w14:textId="77777777" w:rsidTr="00BA49C5">
        <w:trPr>
          <w:trHeight w:val="191"/>
        </w:trPr>
        <w:tc>
          <w:tcPr>
            <w:tcW w:w="0" w:type="auto"/>
            <w:vMerge/>
            <w:tcBorders>
              <w:top w:val="single" w:sz="8" w:space="0" w:color="777777"/>
              <w:left w:val="single" w:sz="8" w:space="0" w:color="777777"/>
              <w:bottom w:val="single" w:sz="8" w:space="0" w:color="777777"/>
              <w:right w:val="single" w:sz="8" w:space="0" w:color="777777"/>
            </w:tcBorders>
            <w:vAlign w:val="center"/>
            <w:hideMark/>
          </w:tcPr>
          <w:p w14:paraId="4C611D4C" w14:textId="77777777" w:rsidR="00CB2EFE" w:rsidRPr="00C85B93" w:rsidRDefault="00CB2EFE" w:rsidP="00BA49C5">
            <w:pPr>
              <w:spacing w:before="240"/>
              <w:rPr>
                <w:rFonts w:ascii="Verdana" w:eastAsia="Times New Roman" w:hAnsi="Verdana" w:cs="Arial"/>
                <w:sz w:val="18"/>
                <w:szCs w:val="18"/>
              </w:rPr>
            </w:pPr>
          </w:p>
        </w:tc>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44ADCAA5" w14:textId="77777777" w:rsidR="00CB2EFE" w:rsidRPr="00C85B93" w:rsidRDefault="00CB2EFE" w:rsidP="00BA49C5">
            <w:pPr>
              <w:spacing w:before="240"/>
              <w:rPr>
                <w:rFonts w:ascii="Verdana" w:eastAsia="Times New Roman" w:hAnsi="Verdana" w:cs="Arial"/>
                <w:sz w:val="18"/>
                <w:szCs w:val="18"/>
              </w:rPr>
            </w:pPr>
            <w:r w:rsidRPr="00C85B93">
              <w:rPr>
                <w:rFonts w:ascii="Verdana" w:eastAsia="Times New Roman" w:hAnsi="Verdana" w:cs="Arial"/>
                <w:sz w:val="18"/>
                <w:szCs w:val="18"/>
              </w:rPr>
              <w:t>Data converted from legacy systems or previous versions introduces data errors if the conversion transfers incomplete, redundant, obsolete, or inaccurate data.</w:t>
            </w:r>
          </w:p>
        </w:tc>
      </w:tr>
      <w:tr w:rsidR="00CB2EFE" w:rsidRPr="0045272E" w14:paraId="601AB43F" w14:textId="77777777" w:rsidTr="00BA49C5">
        <w:trPr>
          <w:trHeight w:val="191"/>
        </w:trPr>
        <w:tc>
          <w:tcPr>
            <w:tcW w:w="0" w:type="auto"/>
            <w:vMerge w:val="restart"/>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7BFC6E0A" w14:textId="77777777" w:rsidR="00CB2EFE" w:rsidRPr="00C85B93" w:rsidRDefault="00CB2EFE" w:rsidP="00BA49C5">
            <w:pPr>
              <w:spacing w:before="240"/>
              <w:rPr>
                <w:rFonts w:ascii="Verdana" w:eastAsia="Times New Roman" w:hAnsi="Verdana" w:cs="Arial"/>
                <w:sz w:val="18"/>
                <w:szCs w:val="18"/>
              </w:rPr>
            </w:pPr>
            <w:r w:rsidRPr="00C85B93">
              <w:rPr>
                <w:rFonts w:ascii="Verdana" w:eastAsia="Times New Roman" w:hAnsi="Verdana" w:cs="Arial"/>
                <w:sz w:val="18"/>
                <w:szCs w:val="18"/>
              </w:rPr>
              <w:t>Data Center &amp; Network Operations</w:t>
            </w:r>
          </w:p>
        </w:tc>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1E167F34" w14:textId="77777777" w:rsidR="00CB2EFE" w:rsidRPr="00C85B93" w:rsidRDefault="00CB2EFE" w:rsidP="00BA49C5">
            <w:pPr>
              <w:spacing w:before="240"/>
              <w:rPr>
                <w:rFonts w:ascii="Verdana" w:eastAsia="Times New Roman" w:hAnsi="Verdana" w:cs="Arial"/>
                <w:sz w:val="18"/>
                <w:szCs w:val="18"/>
              </w:rPr>
            </w:pPr>
            <w:r w:rsidRPr="00C85B93">
              <w:rPr>
                <w:rFonts w:ascii="Verdana" w:eastAsia="Times New Roman" w:hAnsi="Verdana" w:cs="Arial"/>
                <w:sz w:val="18"/>
                <w:szCs w:val="18"/>
              </w:rPr>
              <w:t>Individuals gain inappropriate access to equipment in the data center and exploit such access to circumvent logical access controls and gain inappropriate access to systems.</w:t>
            </w:r>
          </w:p>
        </w:tc>
      </w:tr>
      <w:tr w:rsidR="00CB2EFE" w:rsidRPr="0045272E" w14:paraId="2C5CC59C" w14:textId="77777777" w:rsidTr="00BA49C5">
        <w:trPr>
          <w:trHeight w:val="191"/>
        </w:trPr>
        <w:tc>
          <w:tcPr>
            <w:tcW w:w="0" w:type="auto"/>
            <w:vMerge/>
            <w:tcBorders>
              <w:top w:val="single" w:sz="8" w:space="0" w:color="777777"/>
              <w:left w:val="single" w:sz="8" w:space="0" w:color="777777"/>
              <w:bottom w:val="single" w:sz="8" w:space="0" w:color="777777"/>
              <w:right w:val="single" w:sz="8" w:space="0" w:color="777777"/>
            </w:tcBorders>
            <w:vAlign w:val="center"/>
            <w:hideMark/>
          </w:tcPr>
          <w:p w14:paraId="7B81C43A" w14:textId="77777777" w:rsidR="00CB2EFE" w:rsidRPr="00C85B93" w:rsidRDefault="00CB2EFE" w:rsidP="00BA49C5">
            <w:pPr>
              <w:spacing w:before="240"/>
              <w:rPr>
                <w:rFonts w:ascii="Verdana" w:eastAsia="Times New Roman" w:hAnsi="Verdana" w:cs="Arial"/>
                <w:sz w:val="18"/>
                <w:szCs w:val="18"/>
              </w:rPr>
            </w:pPr>
          </w:p>
        </w:tc>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3C51E220" w14:textId="77777777" w:rsidR="00CB2EFE" w:rsidRPr="00C85B93" w:rsidRDefault="00CB2EFE" w:rsidP="00BA49C5">
            <w:pPr>
              <w:spacing w:before="240"/>
              <w:rPr>
                <w:rFonts w:ascii="Verdana" w:eastAsia="Times New Roman" w:hAnsi="Verdana" w:cs="Arial"/>
                <w:sz w:val="18"/>
                <w:szCs w:val="18"/>
              </w:rPr>
            </w:pPr>
            <w:r w:rsidRPr="00C85B93">
              <w:rPr>
                <w:rFonts w:ascii="Verdana" w:eastAsia="Times New Roman" w:hAnsi="Verdana" w:cs="Arial"/>
                <w:sz w:val="18"/>
                <w:szCs w:val="18"/>
              </w:rPr>
              <w:t>Production systems, programs, and/or jobs result in inaccurate, incomplete, or unauthorized processing of data.</w:t>
            </w:r>
          </w:p>
        </w:tc>
      </w:tr>
      <w:tr w:rsidR="00CB2EFE" w:rsidRPr="0045272E" w14:paraId="1B18A1A1" w14:textId="77777777" w:rsidTr="00BA49C5">
        <w:trPr>
          <w:trHeight w:val="191"/>
        </w:trPr>
        <w:tc>
          <w:tcPr>
            <w:tcW w:w="0" w:type="auto"/>
            <w:vMerge/>
            <w:tcBorders>
              <w:top w:val="single" w:sz="8" w:space="0" w:color="777777"/>
              <w:left w:val="single" w:sz="8" w:space="0" w:color="777777"/>
              <w:bottom w:val="single" w:sz="8" w:space="0" w:color="777777"/>
              <w:right w:val="single" w:sz="8" w:space="0" w:color="777777"/>
            </w:tcBorders>
            <w:vAlign w:val="center"/>
            <w:hideMark/>
          </w:tcPr>
          <w:p w14:paraId="7E15BF4B" w14:textId="77777777" w:rsidR="00CB2EFE" w:rsidRPr="00C85B93" w:rsidRDefault="00CB2EFE" w:rsidP="00BA49C5">
            <w:pPr>
              <w:spacing w:before="240"/>
              <w:rPr>
                <w:rFonts w:ascii="Verdana" w:eastAsia="Times New Roman" w:hAnsi="Verdana" w:cs="Arial"/>
                <w:sz w:val="18"/>
                <w:szCs w:val="18"/>
              </w:rPr>
            </w:pPr>
          </w:p>
        </w:tc>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2358A758" w14:textId="77777777" w:rsidR="00CB2EFE" w:rsidRPr="00C85B93" w:rsidRDefault="00CB2EFE" w:rsidP="00BA49C5">
            <w:pPr>
              <w:spacing w:before="240"/>
              <w:rPr>
                <w:rFonts w:ascii="Verdana" w:eastAsia="Times New Roman" w:hAnsi="Verdana" w:cs="Arial"/>
                <w:sz w:val="18"/>
                <w:szCs w:val="18"/>
              </w:rPr>
            </w:pPr>
            <w:r w:rsidRPr="00C85B93">
              <w:rPr>
                <w:rFonts w:ascii="Verdana" w:eastAsia="Times New Roman" w:hAnsi="Verdana" w:cs="Arial"/>
                <w:sz w:val="18"/>
                <w:szCs w:val="18"/>
              </w:rPr>
              <w:t>Financial data cannot be recovered or accessed in a timely manner when there is a loss of data.</w:t>
            </w:r>
          </w:p>
        </w:tc>
      </w:tr>
      <w:tr w:rsidR="00CB2EFE" w:rsidRPr="0045272E" w14:paraId="193747BD" w14:textId="77777777" w:rsidTr="00BA49C5">
        <w:trPr>
          <w:trHeight w:val="191"/>
        </w:trPr>
        <w:tc>
          <w:tcPr>
            <w:tcW w:w="0" w:type="auto"/>
            <w:vMerge/>
            <w:tcBorders>
              <w:top w:val="single" w:sz="8" w:space="0" w:color="777777"/>
              <w:left w:val="single" w:sz="8" w:space="0" w:color="777777"/>
              <w:bottom w:val="single" w:sz="8" w:space="0" w:color="777777"/>
              <w:right w:val="single" w:sz="8" w:space="0" w:color="777777"/>
            </w:tcBorders>
            <w:vAlign w:val="center"/>
            <w:hideMark/>
          </w:tcPr>
          <w:p w14:paraId="1AFD5BFB" w14:textId="77777777" w:rsidR="00CB2EFE" w:rsidRPr="00C85B93" w:rsidRDefault="00CB2EFE" w:rsidP="00BA49C5">
            <w:pPr>
              <w:spacing w:before="240"/>
              <w:rPr>
                <w:rFonts w:ascii="Verdana" w:eastAsia="Times New Roman" w:hAnsi="Verdana" w:cs="Arial"/>
                <w:sz w:val="18"/>
                <w:szCs w:val="18"/>
              </w:rPr>
            </w:pPr>
          </w:p>
        </w:tc>
        <w:tc>
          <w:tcPr>
            <w:tcW w:w="0" w:type="auto"/>
            <w:tcBorders>
              <w:top w:val="single" w:sz="8" w:space="0" w:color="777777"/>
              <w:left w:val="single" w:sz="8" w:space="0" w:color="777777"/>
              <w:bottom w:val="single" w:sz="8" w:space="0" w:color="777777"/>
              <w:right w:val="single" w:sz="8" w:space="0" w:color="777777"/>
            </w:tcBorders>
            <w:tcMar>
              <w:top w:w="60" w:type="dxa"/>
              <w:left w:w="60" w:type="dxa"/>
              <w:bottom w:w="60" w:type="dxa"/>
              <w:right w:w="60" w:type="dxa"/>
            </w:tcMar>
            <w:hideMark/>
          </w:tcPr>
          <w:p w14:paraId="04BE7265" w14:textId="77777777" w:rsidR="00CB2EFE" w:rsidRPr="00C85B93" w:rsidRDefault="00CB2EFE" w:rsidP="00BA49C5">
            <w:pPr>
              <w:spacing w:before="240"/>
              <w:rPr>
                <w:rFonts w:ascii="Verdana" w:eastAsia="Times New Roman" w:hAnsi="Verdana" w:cs="Arial"/>
                <w:sz w:val="18"/>
                <w:szCs w:val="18"/>
              </w:rPr>
            </w:pPr>
            <w:r w:rsidRPr="00C85B93">
              <w:rPr>
                <w:rFonts w:ascii="Verdana" w:eastAsia="Times New Roman" w:hAnsi="Verdana" w:cs="Arial"/>
                <w:sz w:val="18"/>
                <w:szCs w:val="18"/>
              </w:rPr>
              <w:t>The network does not adequately prevent unauthorized users from gaining inappropriate access to information systems.</w:t>
            </w:r>
          </w:p>
        </w:tc>
      </w:tr>
    </w:tbl>
    <w:p w14:paraId="78C7D63A" w14:textId="77777777" w:rsidR="00CB2EFE" w:rsidRDefault="00CB2EFE" w:rsidP="00CB2EFE">
      <w:pPr>
        <w:keepNext/>
        <w:ind w:left="810"/>
        <w:rPr>
          <w:rFonts w:ascii="Verdana" w:eastAsia="Times New Roman" w:hAnsi="Verdana" w:cs="Arial"/>
          <w:b/>
          <w:sz w:val="18"/>
          <w:szCs w:val="18"/>
        </w:rPr>
      </w:pPr>
    </w:p>
    <w:p w14:paraId="25727498" w14:textId="77777777" w:rsidR="00CB2EFE" w:rsidRDefault="00CB2EFE" w:rsidP="00CB2EFE">
      <w:pPr>
        <w:keepNext/>
        <w:ind w:left="810"/>
        <w:rPr>
          <w:rFonts w:ascii="Verdana" w:eastAsia="Times New Roman" w:hAnsi="Verdana" w:cs="Arial"/>
          <w:b/>
          <w:sz w:val="18"/>
          <w:szCs w:val="18"/>
        </w:rPr>
      </w:pPr>
      <w:r w:rsidRPr="0045272E">
        <w:rPr>
          <w:rFonts w:ascii="Verdana" w:eastAsia="Times New Roman" w:hAnsi="Verdana" w:cs="Arial"/>
          <w:b/>
          <w:sz w:val="18"/>
          <w:szCs w:val="18"/>
        </w:rPr>
        <w:t>Testing of General IT Controls</w:t>
      </w:r>
    </w:p>
    <w:p w14:paraId="32EFB912" w14:textId="77777777" w:rsidR="00CB2EFE" w:rsidRPr="0045272E" w:rsidRDefault="00CB2EFE" w:rsidP="00CB2EFE">
      <w:pPr>
        <w:keepNext/>
        <w:ind w:left="810"/>
        <w:rPr>
          <w:rFonts w:ascii="Verdana" w:eastAsia="Times New Roman" w:hAnsi="Verdana" w:cs="Arial"/>
          <w:b/>
          <w:sz w:val="18"/>
          <w:szCs w:val="18"/>
        </w:rPr>
      </w:pPr>
    </w:p>
    <w:p w14:paraId="319BB6D0" w14:textId="77777777" w:rsidR="00CB2EFE" w:rsidRPr="00C85B93" w:rsidRDefault="00CB2EFE" w:rsidP="00CB2EFE">
      <w:pPr>
        <w:ind w:left="900"/>
        <w:rPr>
          <w:rStyle w:val="pdocumentul1"/>
          <w:rFonts w:ascii="Verdana" w:hAnsi="Verdana"/>
          <w:sz w:val="18"/>
          <w:szCs w:val="18"/>
        </w:rPr>
      </w:pPr>
      <w:r w:rsidRPr="00C85B93">
        <w:rPr>
          <w:rStyle w:val="pdocumentul1"/>
          <w:rFonts w:ascii="Verdana" w:eastAsia="Times New Roman" w:hAnsi="Verdana" w:cs="Arial"/>
          <w:sz w:val="18"/>
          <w:szCs w:val="18"/>
        </w:rPr>
        <w:t xml:space="preserve">We performed the following procedures for general IT controls that were determined to be relevant: </w:t>
      </w:r>
    </w:p>
    <w:p w14:paraId="3DC12A25" w14:textId="77777777" w:rsidR="00CB2EFE" w:rsidRPr="00C85B93" w:rsidRDefault="00CB2EFE" w:rsidP="00CB2EFE">
      <w:pPr>
        <w:pStyle w:val="ListParagraph"/>
        <w:numPr>
          <w:ilvl w:val="0"/>
          <w:numId w:val="1"/>
        </w:numPr>
        <w:spacing w:before="120" w:after="120"/>
        <w:rPr>
          <w:rFonts w:ascii="Verdana" w:hAnsi="Verdana"/>
          <w:sz w:val="18"/>
          <w:szCs w:val="18"/>
        </w:rPr>
      </w:pPr>
      <w:r w:rsidRPr="00C85B93">
        <w:rPr>
          <w:rStyle w:val="documentlip1"/>
          <w:rFonts w:ascii="Verdana" w:eastAsia="Times New Roman" w:hAnsi="Verdana"/>
          <w:sz w:val="18"/>
          <w:szCs w:val="18"/>
        </w:rPr>
        <w:lastRenderedPageBreak/>
        <w:t>Determined whether each general IT control, individually or in combination with other controls, is appropriately designed to address the related RAITs.</w:t>
      </w:r>
    </w:p>
    <w:p w14:paraId="367AAC74" w14:textId="77777777" w:rsidR="00CB2EFE" w:rsidRPr="00C85B93" w:rsidRDefault="00CB2EFE" w:rsidP="00CB2EFE">
      <w:pPr>
        <w:pStyle w:val="ListParagraph"/>
        <w:numPr>
          <w:ilvl w:val="0"/>
          <w:numId w:val="1"/>
        </w:numPr>
        <w:spacing w:before="120" w:after="120"/>
        <w:rPr>
          <w:rFonts w:ascii="Verdana" w:eastAsia="Times New Roman" w:hAnsi="Verdana" w:cs="Arial"/>
          <w:sz w:val="18"/>
          <w:szCs w:val="18"/>
        </w:rPr>
      </w:pPr>
      <w:r w:rsidRPr="00C85B93">
        <w:rPr>
          <w:rStyle w:val="documentlip1"/>
          <w:rFonts w:ascii="Verdana" w:eastAsia="Times New Roman" w:hAnsi="Verdana"/>
          <w:sz w:val="18"/>
          <w:szCs w:val="18"/>
        </w:rPr>
        <w:t>Tested the operating effectiveness of relevant general IT controls.</w:t>
      </w:r>
    </w:p>
    <w:p w14:paraId="1B369DE8" w14:textId="77777777" w:rsidR="00CB2EFE" w:rsidRPr="00C85B93" w:rsidRDefault="00CB2EFE" w:rsidP="00CB2EFE">
      <w:pPr>
        <w:pStyle w:val="ListParagraph"/>
        <w:numPr>
          <w:ilvl w:val="0"/>
          <w:numId w:val="1"/>
        </w:numPr>
        <w:spacing w:before="120" w:after="120"/>
        <w:rPr>
          <w:rFonts w:ascii="Verdana" w:eastAsia="Times New Roman" w:hAnsi="Verdana" w:cs="Arial"/>
          <w:sz w:val="18"/>
          <w:szCs w:val="18"/>
        </w:rPr>
      </w:pPr>
      <w:r w:rsidRPr="00C85B93">
        <w:rPr>
          <w:rStyle w:val="documentlip1"/>
          <w:rFonts w:ascii="Verdana" w:eastAsia="Times New Roman" w:hAnsi="Verdana"/>
          <w:sz w:val="18"/>
          <w:szCs w:val="18"/>
        </w:rPr>
        <w:t>Considered tools used by the entity in relevant general IT controls and tested controls to address the related risks.</w:t>
      </w:r>
    </w:p>
    <w:p w14:paraId="195496DD" w14:textId="77777777" w:rsidR="00CB2EFE" w:rsidRPr="00C85B93" w:rsidRDefault="00CB2EFE" w:rsidP="00CB2EFE">
      <w:pPr>
        <w:pStyle w:val="ListParagraph"/>
        <w:numPr>
          <w:ilvl w:val="0"/>
          <w:numId w:val="1"/>
        </w:numPr>
        <w:spacing w:before="120" w:after="120"/>
        <w:rPr>
          <w:rFonts w:ascii="Verdana" w:eastAsia="Times New Roman" w:hAnsi="Verdana" w:cs="Arial"/>
          <w:sz w:val="18"/>
          <w:szCs w:val="18"/>
        </w:rPr>
      </w:pPr>
      <w:r w:rsidRPr="00C85B93">
        <w:rPr>
          <w:rStyle w:val="documentlip1"/>
          <w:rFonts w:ascii="Verdana" w:eastAsia="Times New Roman" w:hAnsi="Verdana"/>
          <w:sz w:val="18"/>
          <w:szCs w:val="18"/>
        </w:rPr>
        <w:t>Obtained audit evidence about the operating effectiveness of relevant general IT controls sufficient to provide a reasonable basis for the conclusions reached.</w:t>
      </w:r>
    </w:p>
    <w:p w14:paraId="5E41BB34" w14:textId="77777777" w:rsidR="00CB2EFE" w:rsidRPr="00C85B93" w:rsidRDefault="00CB2EFE" w:rsidP="00CB2EFE">
      <w:pPr>
        <w:pStyle w:val="ListParagraph"/>
        <w:numPr>
          <w:ilvl w:val="0"/>
          <w:numId w:val="1"/>
        </w:numPr>
        <w:spacing w:before="120" w:after="120"/>
        <w:rPr>
          <w:rFonts w:ascii="Verdana" w:eastAsia="Times New Roman" w:hAnsi="Verdana" w:cs="Arial"/>
          <w:sz w:val="18"/>
          <w:szCs w:val="18"/>
        </w:rPr>
      </w:pPr>
      <w:r w:rsidRPr="00C85B93">
        <w:rPr>
          <w:rStyle w:val="documentlip1"/>
          <w:rFonts w:ascii="Verdana" w:eastAsia="Times New Roman" w:hAnsi="Verdana"/>
          <w:sz w:val="18"/>
          <w:szCs w:val="18"/>
        </w:rPr>
        <w:t>We documented and communicated control deficiencies to group management.</w:t>
      </w:r>
    </w:p>
    <w:p w14:paraId="501006A9" w14:textId="77777777" w:rsidR="00CB2EFE" w:rsidRPr="00C85B93" w:rsidRDefault="00CB2EFE" w:rsidP="00CB2EFE">
      <w:pPr>
        <w:ind w:left="810"/>
        <w:rPr>
          <w:rFonts w:ascii="Verdana" w:eastAsia="Times New Roman" w:hAnsi="Verdana" w:cs="Arial"/>
          <w:sz w:val="18"/>
          <w:szCs w:val="18"/>
        </w:rPr>
      </w:pPr>
    </w:p>
    <w:p w14:paraId="2703735F" w14:textId="77777777" w:rsidR="00540091" w:rsidRDefault="00540091" w:rsidP="00540091">
      <w:pPr>
        <w:keepNext/>
        <w:ind w:left="810"/>
        <w:rPr>
          <w:rFonts w:ascii="Verdana" w:eastAsia="Times New Roman" w:hAnsi="Verdana" w:cs="Arial"/>
          <w:b/>
          <w:sz w:val="18"/>
          <w:szCs w:val="18"/>
        </w:rPr>
      </w:pPr>
      <w:r w:rsidRPr="0045272E">
        <w:rPr>
          <w:rFonts w:ascii="Verdana" w:eastAsia="Times New Roman" w:hAnsi="Verdana" w:cs="Arial"/>
          <w:b/>
          <w:sz w:val="18"/>
          <w:szCs w:val="18"/>
        </w:rPr>
        <w:t xml:space="preserve">Test </w:t>
      </w:r>
      <w:r>
        <w:rPr>
          <w:rFonts w:ascii="Verdana" w:eastAsia="Times New Roman" w:hAnsi="Verdana" w:cs="Arial"/>
          <w:b/>
          <w:sz w:val="18"/>
          <w:szCs w:val="18"/>
        </w:rPr>
        <w:t>result</w:t>
      </w:r>
    </w:p>
    <w:p w14:paraId="4A6DBA0F" w14:textId="77777777" w:rsidR="00540091" w:rsidRPr="0045272E" w:rsidRDefault="00540091" w:rsidP="00540091">
      <w:pPr>
        <w:keepNext/>
        <w:ind w:left="810"/>
        <w:rPr>
          <w:rFonts w:ascii="Verdana" w:eastAsia="Times New Roman" w:hAnsi="Verdana" w:cs="Arial"/>
          <w:b/>
          <w:sz w:val="18"/>
          <w:szCs w:val="18"/>
        </w:rPr>
      </w:pPr>
    </w:p>
    <w:p w14:paraId="64A09503" w14:textId="2B653B0B" w:rsidR="00540091" w:rsidRPr="00540091" w:rsidRDefault="00540091" w:rsidP="00540091">
      <w:pPr>
        <w:ind w:left="810"/>
        <w:rPr>
          <w:rFonts w:ascii="Verdana" w:eastAsia="Times New Roman" w:hAnsi="Verdana" w:cs="Arial"/>
          <w:sz w:val="18"/>
          <w:szCs w:val="18"/>
        </w:rPr>
      </w:pPr>
      <w:r w:rsidRPr="005759B8">
        <w:rPr>
          <w:rStyle w:val="pdocumentul1"/>
          <w:rFonts w:ascii="Verdana" w:eastAsia="Times New Roman" w:hAnsi="Verdana" w:cs="Arial"/>
          <w:sz w:val="18"/>
          <w:szCs w:val="18"/>
        </w:rPr>
        <w:t xml:space="preserve">We have noted that general IT controls have been tested for the Application and </w:t>
      </w:r>
      <w:r>
        <w:rPr>
          <w:rStyle w:val="pdocumentul1"/>
          <w:rFonts w:ascii="Verdana" w:eastAsia="Times New Roman" w:hAnsi="Verdana" w:cs="Arial"/>
          <w:sz w:val="18"/>
          <w:szCs w:val="18"/>
        </w:rPr>
        <w:t xml:space="preserve">no </w:t>
      </w:r>
      <w:r w:rsidRPr="005759B8">
        <w:rPr>
          <w:rStyle w:val="pdocumentul1"/>
          <w:rFonts w:ascii="Verdana" w:eastAsia="Times New Roman" w:hAnsi="Verdana" w:cs="Arial"/>
          <w:sz w:val="18"/>
          <w:szCs w:val="18"/>
        </w:rPr>
        <w:t xml:space="preserve">exceptions </w:t>
      </w:r>
      <w:r>
        <w:rPr>
          <w:rStyle w:val="pdocumentul1"/>
          <w:rFonts w:ascii="Verdana" w:eastAsia="Times New Roman" w:hAnsi="Verdana" w:cs="Arial"/>
          <w:sz w:val="18"/>
          <w:szCs w:val="18"/>
        </w:rPr>
        <w:t>was found.</w:t>
      </w:r>
    </w:p>
    <w:p w14:paraId="24C4A53A" w14:textId="77777777" w:rsidR="00540091" w:rsidRDefault="00540091" w:rsidP="00CB2EFE">
      <w:pPr>
        <w:ind w:left="810"/>
        <w:rPr>
          <w:rFonts w:ascii="Verdana" w:eastAsia="Times New Roman" w:hAnsi="Verdana" w:cs="Arial"/>
          <w:b/>
          <w:sz w:val="18"/>
          <w:szCs w:val="18"/>
        </w:rPr>
      </w:pPr>
    </w:p>
    <w:p w14:paraId="582910AC" w14:textId="7F817724" w:rsidR="00CB2EFE" w:rsidRDefault="00CB2EFE" w:rsidP="00CB2EFE">
      <w:pPr>
        <w:ind w:left="810"/>
        <w:rPr>
          <w:rFonts w:ascii="Verdana" w:eastAsia="Times New Roman" w:hAnsi="Verdana" w:cs="Arial"/>
          <w:b/>
          <w:sz w:val="18"/>
          <w:szCs w:val="18"/>
        </w:rPr>
      </w:pPr>
      <w:r w:rsidRPr="0045272E">
        <w:rPr>
          <w:rFonts w:ascii="Verdana" w:eastAsia="Times New Roman" w:hAnsi="Verdana" w:cs="Arial"/>
          <w:b/>
          <w:sz w:val="18"/>
          <w:szCs w:val="18"/>
        </w:rPr>
        <w:t>Conclusion</w:t>
      </w:r>
    </w:p>
    <w:p w14:paraId="3A7176D8" w14:textId="77777777" w:rsidR="00CB2EFE" w:rsidRPr="0045272E" w:rsidRDefault="00CB2EFE" w:rsidP="00CB2EFE">
      <w:pPr>
        <w:ind w:left="240"/>
        <w:rPr>
          <w:rFonts w:ascii="Verdana" w:eastAsia="Times New Roman" w:hAnsi="Verdana" w:cs="Arial"/>
          <w:b/>
          <w:sz w:val="18"/>
          <w:szCs w:val="18"/>
        </w:rPr>
      </w:pPr>
    </w:p>
    <w:p w14:paraId="2DE90693" w14:textId="77777777" w:rsidR="00CB2EFE" w:rsidRPr="00C85B93" w:rsidRDefault="00CB2EFE" w:rsidP="00CB2EFE">
      <w:pPr>
        <w:ind w:left="810"/>
        <w:rPr>
          <w:rFonts w:ascii="Verdana" w:eastAsia="Times New Roman" w:hAnsi="Verdana" w:cs="Arial"/>
          <w:sz w:val="18"/>
          <w:szCs w:val="18"/>
        </w:rPr>
      </w:pPr>
      <w:r w:rsidRPr="00C85B93">
        <w:rPr>
          <w:rFonts w:ascii="Verdana" w:eastAsia="Times New Roman" w:hAnsi="Verdana" w:cs="Arial"/>
          <w:sz w:val="18"/>
          <w:szCs w:val="18"/>
        </w:rPr>
        <w:t>As a result of the audit procedures performed, accompanying this communication is a description of any identified deficiencies in internal control over financial reporting for the controls addressed in this memo.</w:t>
      </w:r>
    </w:p>
    <w:p w14:paraId="37AB9890" w14:textId="77777777" w:rsidR="00CB2EFE" w:rsidRPr="00C85B93" w:rsidRDefault="00CB2EFE" w:rsidP="00771460">
      <w:pPr>
        <w:rPr>
          <w:rFonts w:ascii="Verdana" w:eastAsia="Times New Roman" w:hAnsi="Verdana" w:cs="Arial"/>
          <w:sz w:val="18"/>
          <w:szCs w:val="18"/>
        </w:rPr>
      </w:pPr>
    </w:p>
    <w:p w14:paraId="4D08A2B4" w14:textId="06D81A9B" w:rsidR="00CB2EFE" w:rsidRPr="00C85B93" w:rsidRDefault="00CB2EFE" w:rsidP="00CB2EFE">
      <w:pPr>
        <w:ind w:left="810"/>
        <w:rPr>
          <w:rFonts w:ascii="Verdana" w:eastAsia="Times New Roman" w:hAnsi="Verdana" w:cs="Arial"/>
          <w:sz w:val="18"/>
          <w:szCs w:val="18"/>
        </w:rPr>
      </w:pPr>
      <w:r w:rsidRPr="00C85B93">
        <w:rPr>
          <w:rFonts w:ascii="Verdana" w:eastAsia="Times New Roman" w:hAnsi="Verdana" w:cs="Arial"/>
          <w:sz w:val="18"/>
          <w:szCs w:val="18"/>
        </w:rPr>
        <w:t xml:space="preserve">We have determined that the identified RAITs are appropriately addressed during the </w:t>
      </w:r>
      <w:r w:rsidR="00540091">
        <w:rPr>
          <w:rFonts w:ascii="Verdana" w:eastAsia="Times New Roman" w:hAnsi="Verdana" w:cs="Arial"/>
          <w:sz w:val="18"/>
          <w:szCs w:val="18"/>
        </w:rPr>
        <w:t xml:space="preserve">audit </w:t>
      </w:r>
      <w:r w:rsidRPr="00C85B93">
        <w:rPr>
          <w:rFonts w:ascii="Verdana" w:eastAsia="Times New Roman" w:hAnsi="Verdana" w:cs="Arial"/>
          <w:sz w:val="18"/>
          <w:szCs w:val="18"/>
        </w:rPr>
        <w:t xml:space="preserve">period. Our evaluation was based on our consideration of Chapter 6, "Understanding and Testing General IT Controls," of the </w:t>
      </w:r>
      <w:r w:rsidRPr="00C85B93">
        <w:rPr>
          <w:rFonts w:ascii="Verdana" w:eastAsia="Times New Roman" w:hAnsi="Verdana" w:cs="Arial"/>
          <w:i/>
          <w:iCs/>
          <w:sz w:val="18"/>
          <w:szCs w:val="18"/>
        </w:rPr>
        <w:t>Internal Control Guide</w:t>
      </w:r>
      <w:r w:rsidRPr="00C85B93">
        <w:rPr>
          <w:rFonts w:ascii="Verdana" w:eastAsia="Times New Roman" w:hAnsi="Verdana" w:cs="Arial"/>
          <w:sz w:val="18"/>
          <w:szCs w:val="18"/>
        </w:rPr>
        <w:t>.</w:t>
      </w:r>
    </w:p>
    <w:p w14:paraId="5F56BDCA" w14:textId="77777777" w:rsidR="00CB2EFE" w:rsidRPr="00C85B93" w:rsidRDefault="00CB2EFE" w:rsidP="00CB2EFE">
      <w:pPr>
        <w:ind w:left="810"/>
        <w:rPr>
          <w:rFonts w:ascii="Verdana" w:eastAsia="Times New Roman" w:hAnsi="Verdana" w:cs="Arial"/>
          <w:sz w:val="18"/>
          <w:szCs w:val="18"/>
        </w:rPr>
      </w:pPr>
    </w:p>
    <w:p w14:paraId="13F0980F" w14:textId="77777777" w:rsidR="003A5473" w:rsidRDefault="003A5473"/>
    <w:sectPr w:rsidR="003A5473" w:rsidSect="00EF58A7">
      <w:headerReference w:type="default" r:id="rId12"/>
      <w:footerReference w:type="default" r:id="rId13"/>
      <w:headerReference w:type="first" r:id="rId14"/>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3B3D87" w14:textId="77777777" w:rsidR="00687AE2" w:rsidRDefault="00687AE2" w:rsidP="00CB2EFE">
      <w:r>
        <w:separator/>
      </w:r>
    </w:p>
  </w:endnote>
  <w:endnote w:type="continuationSeparator" w:id="0">
    <w:p w14:paraId="4210CE51" w14:textId="77777777" w:rsidR="00687AE2" w:rsidRDefault="00687AE2" w:rsidP="00CB2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8347693"/>
      <w:docPartObj>
        <w:docPartGallery w:val="Page Numbers (Bottom of Page)"/>
        <w:docPartUnique/>
      </w:docPartObj>
    </w:sdtPr>
    <w:sdtEndPr>
      <w:rPr>
        <w:noProof/>
      </w:rPr>
    </w:sdtEndPr>
    <w:sdtContent>
      <w:p w14:paraId="5FA49183" w14:textId="77777777" w:rsidR="00EF58A7" w:rsidRDefault="00A31A81">
        <w:pPr>
          <w:pStyle w:val="Footer"/>
          <w:jc w:val="center"/>
        </w:pPr>
        <w:r w:rsidRPr="00EF58A7">
          <w:rPr>
            <w:rFonts w:ascii="Verdana" w:hAnsi="Verdana"/>
            <w:sz w:val="16"/>
            <w:szCs w:val="16"/>
          </w:rPr>
          <w:fldChar w:fldCharType="begin"/>
        </w:r>
        <w:r w:rsidRPr="00EF58A7">
          <w:rPr>
            <w:rFonts w:ascii="Verdana" w:hAnsi="Verdana"/>
            <w:sz w:val="16"/>
            <w:szCs w:val="16"/>
          </w:rPr>
          <w:instrText xml:space="preserve"> PAGE   \* MERGEFORMAT </w:instrText>
        </w:r>
        <w:r w:rsidRPr="00EF58A7">
          <w:rPr>
            <w:rFonts w:ascii="Verdana" w:hAnsi="Verdana"/>
            <w:sz w:val="16"/>
            <w:szCs w:val="16"/>
          </w:rPr>
          <w:fldChar w:fldCharType="separate"/>
        </w:r>
        <w:r>
          <w:rPr>
            <w:rFonts w:ascii="Verdana" w:hAnsi="Verdana"/>
            <w:noProof/>
            <w:sz w:val="16"/>
            <w:szCs w:val="16"/>
          </w:rPr>
          <w:t>21</w:t>
        </w:r>
        <w:r w:rsidRPr="00EF58A7">
          <w:rPr>
            <w:rFonts w:ascii="Verdana" w:hAnsi="Verdana"/>
            <w:noProof/>
            <w:sz w:val="16"/>
            <w:szCs w:val="16"/>
          </w:rPr>
          <w:fldChar w:fldCharType="end"/>
        </w:r>
      </w:p>
    </w:sdtContent>
  </w:sdt>
  <w:p w14:paraId="476F46DA" w14:textId="77777777" w:rsidR="00EF58A7" w:rsidRDefault="00687A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CCEC4" w14:textId="77777777" w:rsidR="00687AE2" w:rsidRDefault="00687AE2" w:rsidP="00CB2EFE">
      <w:r>
        <w:separator/>
      </w:r>
    </w:p>
  </w:footnote>
  <w:footnote w:type="continuationSeparator" w:id="0">
    <w:p w14:paraId="24A15450" w14:textId="77777777" w:rsidR="00687AE2" w:rsidRDefault="00687AE2" w:rsidP="00CB2E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77CE7" w14:textId="77777777" w:rsidR="00503D00" w:rsidRPr="00503D00" w:rsidRDefault="00A31A81" w:rsidP="00503D00">
    <w:pPr>
      <w:pStyle w:val="Header"/>
      <w:tabs>
        <w:tab w:val="clear" w:pos="4680"/>
        <w:tab w:val="clear" w:pos="9360"/>
      </w:tabs>
      <w:jc w:val="right"/>
      <w:rPr>
        <w:rFonts w:ascii="Verdana" w:hAnsi="Verdana"/>
        <w:sz w:val="16"/>
        <w:szCs w:val="16"/>
      </w:rPr>
    </w:pPr>
    <w:r>
      <w:rPr>
        <w:rFonts w:ascii="Verdana" w:hAnsi="Verdana"/>
        <w:sz w:val="16"/>
        <w:szCs w:val="16"/>
      </w:rPr>
      <w:t>U.S. Clearance Memorandum Example Templates (5</w:t>
    </w:r>
    <w:r w:rsidRPr="00503D00">
      <w:rPr>
        <w:rFonts w:ascii="Verdana" w:hAnsi="Verdana"/>
        <w:sz w:val="16"/>
        <w:szCs w:val="16"/>
      </w:rPr>
      <w:t>-18)</w:t>
    </w:r>
  </w:p>
  <w:p w14:paraId="074F7526" w14:textId="77777777" w:rsidR="00503D00" w:rsidRDefault="00687A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70DA" w14:textId="77777777" w:rsidR="00503D00" w:rsidRPr="00503D00" w:rsidRDefault="00A31A81" w:rsidP="00503D00">
    <w:pPr>
      <w:pStyle w:val="Header"/>
      <w:tabs>
        <w:tab w:val="clear" w:pos="4680"/>
        <w:tab w:val="clear" w:pos="9360"/>
      </w:tabs>
      <w:jc w:val="right"/>
      <w:rPr>
        <w:rFonts w:ascii="Verdana" w:hAnsi="Verdana"/>
        <w:sz w:val="16"/>
        <w:szCs w:val="16"/>
      </w:rPr>
    </w:pPr>
    <w:r>
      <w:tab/>
    </w:r>
    <w:r>
      <w:rPr>
        <w:rFonts w:ascii="Verdana" w:hAnsi="Verdana"/>
        <w:sz w:val="16"/>
        <w:szCs w:val="16"/>
      </w:rPr>
      <w:t>U.S. Clearance Memorandum Example Templates (5</w:t>
    </w:r>
    <w:r w:rsidRPr="00503D00">
      <w:rPr>
        <w:rFonts w:ascii="Verdana" w:hAnsi="Verdana"/>
        <w:sz w:val="16"/>
        <w:szCs w:val="16"/>
      </w:rPr>
      <w:t>-18)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857EF"/>
    <w:multiLevelType w:val="hybridMultilevel"/>
    <w:tmpl w:val="7AE4F7E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21A732CD"/>
    <w:multiLevelType w:val="hybridMultilevel"/>
    <w:tmpl w:val="42AAD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3B5DAA"/>
    <w:multiLevelType w:val="hybridMultilevel"/>
    <w:tmpl w:val="3C20FEA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FE"/>
    <w:rsid w:val="003A5473"/>
    <w:rsid w:val="00540091"/>
    <w:rsid w:val="00565BCE"/>
    <w:rsid w:val="006328A2"/>
    <w:rsid w:val="00687AE2"/>
    <w:rsid w:val="00771460"/>
    <w:rsid w:val="00776207"/>
    <w:rsid w:val="00A2523F"/>
    <w:rsid w:val="00A31A81"/>
    <w:rsid w:val="00B53840"/>
    <w:rsid w:val="00CB2EFE"/>
    <w:rsid w:val="00CD2999"/>
    <w:rsid w:val="00D11551"/>
    <w:rsid w:val="00EB3ADB"/>
    <w:rsid w:val="00F11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F4A5A2"/>
  <w15:chartTrackingRefBased/>
  <w15:docId w15:val="{1BDB7AF9-59E1-4B18-921F-58392930D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2EFE"/>
    <w:rPr>
      <w:rFonts w:eastAsiaTheme="minorEastAsia"/>
      <w:sz w:val="24"/>
      <w:szCs w:val="24"/>
    </w:rPr>
  </w:style>
  <w:style w:type="paragraph" w:styleId="Heading1">
    <w:name w:val="heading 1"/>
    <w:basedOn w:val="Normal"/>
    <w:next w:val="Normal"/>
    <w:link w:val="Heading1Char"/>
    <w:qFormat/>
    <w:rsid w:val="00CB2EFE"/>
    <w:pPr>
      <w:keepNext/>
      <w:spacing w:before="240" w:after="60"/>
      <w:outlineLvl w:val="0"/>
    </w:pPr>
    <w:rPr>
      <w:rFonts w:ascii="Arial" w:eastAsia="Times New Roman" w:hAnsi="Arial"/>
      <w:b/>
      <w:kern w:val="28"/>
      <w:sz w:val="28"/>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2EFE"/>
    <w:rPr>
      <w:color w:val="0000FF"/>
      <w:u w:val="single"/>
    </w:rPr>
  </w:style>
  <w:style w:type="character" w:customStyle="1" w:styleId="pdocumentul1">
    <w:name w:val="p_document_ul1"/>
    <w:basedOn w:val="DefaultParagraphFont"/>
    <w:rsid w:val="00CB2EFE"/>
  </w:style>
  <w:style w:type="character" w:customStyle="1" w:styleId="documentlip1">
    <w:name w:val="document_li_p1"/>
    <w:basedOn w:val="DefaultParagraphFont"/>
    <w:rsid w:val="00CB2EFE"/>
    <w:rPr>
      <w:rFonts w:ascii="Arial" w:hAnsi="Arial" w:cs="Arial" w:hint="default"/>
      <w:sz w:val="20"/>
      <w:szCs w:val="20"/>
    </w:rPr>
  </w:style>
  <w:style w:type="paragraph" w:styleId="ListParagraph">
    <w:name w:val="List Paragraph"/>
    <w:basedOn w:val="Normal"/>
    <w:uiPriority w:val="34"/>
    <w:qFormat/>
    <w:rsid w:val="00CB2EFE"/>
    <w:pPr>
      <w:ind w:left="720"/>
      <w:contextualSpacing/>
    </w:pPr>
  </w:style>
  <w:style w:type="character" w:customStyle="1" w:styleId="guidance-text1">
    <w:name w:val="guidance-text1"/>
    <w:basedOn w:val="DefaultParagraphFont"/>
    <w:rsid w:val="00CB2EFE"/>
    <w:rPr>
      <w:b w:val="0"/>
      <w:bCs w:val="0"/>
      <w:vanish w:val="0"/>
      <w:webHidden w:val="0"/>
      <w:specVanish w:val="0"/>
    </w:rPr>
  </w:style>
  <w:style w:type="character" w:customStyle="1" w:styleId="paragraph1">
    <w:name w:val="paragraph1"/>
    <w:basedOn w:val="DefaultParagraphFont"/>
    <w:rsid w:val="00CB2EFE"/>
    <w:rPr>
      <w:rFonts w:ascii="Arial" w:hAnsi="Arial" w:cs="Arial" w:hint="default"/>
      <w:vanish w:val="0"/>
      <w:webHidden w:val="0"/>
      <w:sz w:val="29"/>
      <w:szCs w:val="29"/>
      <w:specVanish w:val="0"/>
    </w:rPr>
  </w:style>
  <w:style w:type="paragraph" w:styleId="Header">
    <w:name w:val="header"/>
    <w:basedOn w:val="Normal"/>
    <w:link w:val="HeaderChar"/>
    <w:uiPriority w:val="99"/>
    <w:unhideWhenUsed/>
    <w:rsid w:val="00CB2EFE"/>
    <w:pPr>
      <w:tabs>
        <w:tab w:val="center" w:pos="4680"/>
        <w:tab w:val="right" w:pos="9360"/>
      </w:tabs>
    </w:pPr>
  </w:style>
  <w:style w:type="character" w:customStyle="1" w:styleId="HeaderChar">
    <w:name w:val="Header Char"/>
    <w:basedOn w:val="DefaultParagraphFont"/>
    <w:link w:val="Header"/>
    <w:uiPriority w:val="99"/>
    <w:rsid w:val="00CB2EFE"/>
    <w:rPr>
      <w:rFonts w:eastAsiaTheme="minorEastAsia"/>
      <w:sz w:val="24"/>
      <w:szCs w:val="24"/>
    </w:rPr>
  </w:style>
  <w:style w:type="paragraph" w:styleId="Footer">
    <w:name w:val="footer"/>
    <w:basedOn w:val="Normal"/>
    <w:link w:val="FooterChar"/>
    <w:uiPriority w:val="99"/>
    <w:unhideWhenUsed/>
    <w:rsid w:val="00CB2EFE"/>
    <w:pPr>
      <w:tabs>
        <w:tab w:val="center" w:pos="4680"/>
        <w:tab w:val="right" w:pos="9360"/>
      </w:tabs>
    </w:pPr>
  </w:style>
  <w:style w:type="character" w:customStyle="1" w:styleId="FooterChar">
    <w:name w:val="Footer Char"/>
    <w:basedOn w:val="DefaultParagraphFont"/>
    <w:link w:val="Footer"/>
    <w:uiPriority w:val="99"/>
    <w:rsid w:val="00CB2EFE"/>
    <w:rPr>
      <w:rFonts w:eastAsiaTheme="minorEastAsia"/>
      <w:sz w:val="24"/>
      <w:szCs w:val="24"/>
    </w:rPr>
  </w:style>
  <w:style w:type="character" w:customStyle="1" w:styleId="Heading1Char">
    <w:name w:val="Heading 1 Char"/>
    <w:basedOn w:val="DefaultParagraphFont"/>
    <w:link w:val="Heading1"/>
    <w:rsid w:val="00CB2EFE"/>
    <w:rPr>
      <w:rFonts w:ascii="Arial" w:hAnsi="Arial"/>
      <w:b/>
      <w:kern w:val="28"/>
      <w:sz w:val="28"/>
      <w:lang w:val="x-none" w:eastAsia="x-none"/>
    </w:rPr>
  </w:style>
  <w:style w:type="paragraph" w:customStyle="1" w:styleId="transformedcontent2">
    <w:name w:val="transformedcontent2"/>
    <w:basedOn w:val="Normal"/>
    <w:rsid w:val="00CB2EFE"/>
    <w:pPr>
      <w:spacing w:before="100" w:beforeAutospacing="1" w:after="100" w:afterAutospacing="1" w:line="360" w:lineRule="atLeast"/>
    </w:pPr>
    <w:rPr>
      <w:rFonts w:ascii="Arial" w:eastAsia="Times New Roman" w:hAnsi="Arial" w:cs="Arial"/>
      <w:color w:val="666666"/>
    </w:rPr>
  </w:style>
  <w:style w:type="character" w:customStyle="1" w:styleId="paragraph2">
    <w:name w:val="paragraph2"/>
    <w:basedOn w:val="DefaultParagraphFont"/>
    <w:rsid w:val="00CB2EFE"/>
    <w:rPr>
      <w:rFonts w:ascii="Arial" w:hAnsi="Arial" w:cs="Arial" w:hint="default"/>
      <w:vanish w:val="0"/>
      <w:webHidden w:val="0"/>
      <w:specVanish w:val="0"/>
    </w:rPr>
  </w:style>
  <w:style w:type="character" w:customStyle="1" w:styleId="guidance-phrase2">
    <w:name w:val="guidance-phrase2"/>
    <w:basedOn w:val="DefaultParagraphFont"/>
    <w:rsid w:val="00CB2EFE"/>
    <w:rPr>
      <w:b w:val="0"/>
      <w:bCs w:val="0"/>
      <w:vanish w:val="0"/>
      <w:webHidden w:val="0"/>
      <w:specVanish w:val="0"/>
    </w:rPr>
  </w:style>
  <w:style w:type="character" w:styleId="FollowedHyperlink">
    <w:name w:val="FollowedHyperlink"/>
    <w:basedOn w:val="DefaultParagraphFont"/>
    <w:rsid w:val="00CB2E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New Document" ma:contentTypeID="0x0101002880177DFDC248C38C745E1D664A5FC500C0D6B7AA1BE3F74FA127F39B014127C8" ma:contentTypeVersion="47" ma:contentTypeDescription="Create a new Document" ma:contentTypeScope="" ma:versionID="b280e0627f8124308afc77429cb52bce">
  <xsd:schema xmlns:xsd="http://www.w3.org/2001/XMLSchema" xmlns:xs="http://www.w3.org/2001/XMLSchema" xmlns:p="http://schemas.microsoft.com/office/2006/metadata/properties" xmlns:ns1="http://schemas.microsoft.com/sharepoint/v3" xmlns:ns2="106090da-c549-49f4-ac2c-5260f57025af" xmlns:ns3="7AF0C9C1-571A-469E-93FE-640E88AEF1EC" xmlns:ns4="a3273937-55e7-450c-ac1f-0f7de532f690" xmlns:ns5="994E32D3-2E21-4611-87E1-D68FC0813440" xmlns:ns6="8DD08C88-CC4C-4D35-9129-A70DAA36BE5E" xmlns:ns7="83DDB362-4C05-4E52-A8D9-EF2F47978B8D" xmlns:ns8="7D1768DD-F29E-4DC2-9191-F2636B9FA92C" xmlns:ns9="0DBE4740-AD0E-4EAB-9055-8EB1C48284D9" xmlns:ns10="39C40E9B-856B-46A7-8793-65A6FC1828D8" xmlns:ns12="3A0186DE-B11E-4A29-9C82-428D45BCA71F" xmlns:ns13="546D9DE3-080E-4EC6-B7DD-508C11F603C7" xmlns:ns14="5A51C775-C49C-428B-8C1E-2F89178D00F4" xmlns:ns15="2d85fd21-8b81-46b7-aaf7-5b0a877101c6" targetNamespace="http://schemas.microsoft.com/office/2006/metadata/properties" ma:root="true" ma:fieldsID="41ca5d7fae7c3f6e3041a35b35d0b7f6" ns1:_="" ns2:_="" ns3:_="" ns4:_="" ns5:_="" ns6:_="" ns7:_="" ns8:_="" ns9:_="" ns10:_="" ns12:_="" ns13:_="" ns14:_="" ns15:_="">
    <xsd:import namespace="http://schemas.microsoft.com/sharepoint/v3"/>
    <xsd:import namespace="106090da-c549-49f4-ac2c-5260f57025af"/>
    <xsd:import namespace="7AF0C9C1-571A-469E-93FE-640E88AEF1EC"/>
    <xsd:import namespace="a3273937-55e7-450c-ac1f-0f7de532f690"/>
    <xsd:import namespace="994E32D3-2E21-4611-87E1-D68FC0813440"/>
    <xsd:import namespace="8DD08C88-CC4C-4D35-9129-A70DAA36BE5E"/>
    <xsd:import namespace="83DDB362-4C05-4E52-A8D9-EF2F47978B8D"/>
    <xsd:import namespace="7D1768DD-F29E-4DC2-9191-F2636B9FA92C"/>
    <xsd:import namespace="0DBE4740-AD0E-4EAB-9055-8EB1C48284D9"/>
    <xsd:import namespace="39C40E9B-856B-46A7-8793-65A6FC1828D8"/>
    <xsd:import namespace="3A0186DE-B11E-4A29-9C82-428D45BCA71F"/>
    <xsd:import namespace="546D9DE3-080E-4EC6-B7DD-508C11F603C7"/>
    <xsd:import namespace="5A51C775-C49C-428B-8C1E-2F89178D00F4"/>
    <xsd:import namespace="2d85fd21-8b81-46b7-aaf7-5b0a877101c6"/>
    <xsd:element name="properties">
      <xsd:complexType>
        <xsd:sequence>
          <xsd:element name="documentManagement">
            <xsd:complexType>
              <xsd:all>
                <xsd:element ref="ns1:DescriptionHTML" minOccurs="0"/>
                <xsd:element ref="ns1:Author_selected" minOccurs="0"/>
                <xsd:element ref="ns3:Global_x0020_Internal_x0020_ServiceTaxHTField0" minOccurs="0"/>
                <xsd:element ref="ns4:TaxCatchAll" minOccurs="0"/>
                <xsd:element ref="ns4:TaxCatchAllLabel" minOccurs="0"/>
                <xsd:element ref="ns5:Geography_x0020_of_x0020_OriginTaxHTField0" minOccurs="0"/>
                <xsd:element ref="ns6:Local_x0020_Content_x0020_TypeTaxHTField0" minOccurs="0"/>
                <xsd:element ref="ns1:Client" minOccurs="0"/>
                <xsd:element ref="ns3:Local_x0020_Internal_x0020_ServiceTaxHTField0" minOccurs="0"/>
                <xsd:element ref="ns6:Global_x0020_Content_x0020_TypeTaxHTField0" minOccurs="0"/>
                <xsd:element ref="ns2:Abstract" minOccurs="0"/>
                <xsd:element ref="ns7:Primary_x0020_Global_x0020_IndustTaxHTField0" minOccurs="0"/>
                <xsd:element ref="ns8:Primary_x0020_Global_x0020_ClientTaxHTField0" minOccurs="0"/>
                <xsd:element ref="ns4:ClientLukup" minOccurs="0"/>
                <xsd:element ref="ns4:ClientID" minOccurs="0"/>
                <xsd:element ref="ns9:IPCO_x0020_DesignationTaxHTField0" minOccurs="0"/>
                <xsd:element ref="ns2:BusinessTitle" minOccurs="0"/>
                <xsd:element ref="ns10:KAM_x0020_LanguageTaxHTField0" minOccurs="0"/>
                <xsd:element ref="ns7:Primary_x0020_Local_x0020_IndustTaxHTField0" minOccurs="0"/>
                <xsd:element ref="ns1:Author_entered" minOccurs="0"/>
                <xsd:element ref="ns4:i67d27b5dd1e4ed29b03622e76ee750b" minOccurs="0"/>
                <xsd:element ref="ns12:Secondary_x0020_Global_x0020_ClieTaxHTField0" minOccurs="0"/>
                <xsd:element ref="ns13:Secondary_x0020_Local_x0020_InduTaxHTField0" minOccurs="0"/>
                <xsd:element ref="ns14:Applicable_x0020_GeographyTaxHTField0" minOccurs="0"/>
                <xsd:element ref="ns1:Contributor" minOccurs="0"/>
                <xsd:element ref="ns8:Primary_x0020_Local_x0020_ClientTaxHTField0" minOccurs="0"/>
                <xsd:element ref="ns13:Secondary_x0020_Global_x0020_InduTaxHTField0" minOccurs="0"/>
                <xsd:element ref="ns12:Secondary_x0020_Local_x0020_ClieTaxHTField0" minOccurs="0"/>
                <xsd:element ref="ns2:ContentDate" minOccurs="0"/>
                <xsd:element ref="ns4:_dlc_DocId" minOccurs="0"/>
                <xsd:element ref="ns4:_dlc_DocIdUrl" minOccurs="0"/>
                <xsd:element ref="ns4:_dlc_DocIdPersistId" minOccurs="0"/>
                <xsd:element ref="ns15:KAMActivity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escriptionHTML" ma:index="8" nillable="true" ma:displayName="KAM Description" ma:internalName="DescriptionHTML">
      <xsd:simpleType>
        <xsd:restriction base="dms:Unknown"/>
      </xsd:simpleType>
    </xsd:element>
    <xsd:element name="Author_selected" ma:index="10" nillable="true" ma:displayName="KAM Author" ma:list="UserInfo" ma:SharePointGroup="0" ma:internalName="Author_selected"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lient" ma:index="19" nillable="true" ma:displayName="Client (text)" ma:internalName="Client" ma:readOnly="false">
      <xsd:simpleType>
        <xsd:restriction base="dms:Text">
          <xsd:maxLength value="255"/>
        </xsd:restriction>
      </xsd:simpleType>
    </xsd:element>
    <xsd:element name="Author_entered" ma:index="38" nillable="true" ma:displayName="KAM Author (text)" ma:internalName="Author_entered" ma:readOnly="false">
      <xsd:simpleType>
        <xsd:restriction base="dms:Text">
          <xsd:maxLength value="255"/>
        </xsd:restriction>
      </xsd:simpleType>
    </xsd:element>
    <xsd:element name="Contributor" ma:index="47" nillable="true" ma:displayName="KAM Contributor" ma:list="UserInfo" ma:SharePointGroup="0" ma:internalName="Contribu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06090da-c549-49f4-ac2c-5260f57025af" elementFormDefault="qualified">
    <xsd:import namespace="http://schemas.microsoft.com/office/2006/documentManagement/types"/>
    <xsd:import namespace="http://schemas.microsoft.com/office/infopath/2007/PartnerControls"/>
    <xsd:element name="Abstract" ma:index="24" nillable="true" ma:displayName="Abstract" ma:internalName="Abstract">
      <xsd:simpleType>
        <xsd:restriction base="dms:Note">
          <xsd:maxLength value="150"/>
        </xsd:restriction>
      </xsd:simpleType>
    </xsd:element>
    <xsd:element name="BusinessTitle" ma:index="33" nillable="true" ma:displayName="Business Title" ma:indexed="true" ma:internalName="BusinessTitle">
      <xsd:simpleType>
        <xsd:restriction base="dms:Text"/>
      </xsd:simpleType>
    </xsd:element>
    <xsd:element name="ContentDate" ma:index="54" nillable="true" ma:displayName="Content Date" ma:format="DateOnly" ma:indexed="true" ma:internalName="Cont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AF0C9C1-571A-469E-93FE-640E88AEF1EC" elementFormDefault="qualified">
    <xsd:import namespace="http://schemas.microsoft.com/office/2006/documentManagement/types"/>
    <xsd:import namespace="http://schemas.microsoft.com/office/infopath/2007/PartnerControls"/>
    <xsd:element name="Global_x0020_Internal_x0020_ServiceTaxHTField0" ma:index="11" nillable="true" ma:taxonomy="true" ma:internalName="Global_x0020_Internal_x0020_ServiceTaxHTField" ma:taxonomyFieldName="Global_x0020_Internal_x0020_Service" ma:displayName="Global Internal Service" ma:readOnly="false" ma:default="" ma:fieldId="{78949fba-bdc1-4268-a377-2819f8f8cc22}" ma:taxonomyMulti="true" ma:sspId="155bb128-613e-4099-96fa-4403fd0cc87b" ma:termSetId="2d964c90-0fcb-4b60-9702-531635f17251" ma:anchorId="00000000-0000-0000-0000-000000000000" ma:open="false" ma:isKeyword="false">
      <xsd:complexType>
        <xsd:sequence>
          <xsd:element ref="pc:Terms" minOccurs="0" maxOccurs="1"/>
        </xsd:sequence>
      </xsd:complexType>
    </xsd:element>
    <xsd:element name="Local_x0020_Internal_x0020_ServiceTaxHTField0" ma:index="20" nillable="true" ma:taxonomy="true" ma:internalName="Local_x0020_Internal_x0020_ServiceTaxHTField" ma:taxonomyFieldName="Local_x0020_Internal_x0020_Service" ma:displayName="Local Internal Service" ma:readOnly="false" ma:default="" ma:fieldId="{3c6b9500-9e92-4dc8-ac80-766b07b1a639}" ma:taxonomyMulti="true" ma:sspId="155bb128-613e-4099-96fa-4403fd0cc87b" ma:termSetId="a6913820-b621-4796-b77e-fe7afb08f41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3273937-55e7-450c-ac1f-0f7de532f690" elementFormDefault="qualified">
    <xsd:import namespace="http://schemas.microsoft.com/office/2006/documentManagement/types"/>
    <xsd:import namespace="http://schemas.microsoft.com/office/infopath/2007/PartnerControls"/>
    <xsd:element name="TaxCatchAll" ma:index="12" nillable="true" ma:displayName="Taxonomy Catch All Column" ma:description="" ma:hidden="true" ma:list="{ee907028-b297-4ddd-b037-36bf1658e29a}" ma:internalName="TaxCatchAll" ma:showField="CatchAllData" ma:web="8f76c166-71bb-4485-ba44-06550697a6a0">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Taxonomy Catch All Column1" ma:hidden="true" ma:list="{ee907028-b297-4ddd-b037-36bf1658e29a}" ma:internalName="TaxCatchAllLabel" ma:readOnly="true" ma:showField="CatchAllDataLabel" ma:web="8f76c166-71bb-4485-ba44-06550697a6a0">
      <xsd:complexType>
        <xsd:complexContent>
          <xsd:extension base="dms:MultiChoiceLookup">
            <xsd:sequence>
              <xsd:element name="Value" type="dms:Lookup" maxOccurs="unbounded" minOccurs="0" nillable="true"/>
            </xsd:sequence>
          </xsd:extension>
        </xsd:complexContent>
      </xsd:complexType>
    </xsd:element>
    <xsd:element name="ClientLukup" ma:index="29" nillable="true" ma:displayName="Client" ma:internalName="ClientLukup" ma:readOnly="false">
      <xsd:simpleType>
        <xsd:restriction base="dms:Text"/>
      </xsd:simpleType>
    </xsd:element>
    <xsd:element name="ClientID" ma:index="30" nillable="true" ma:displayName="ClientID" ma:internalName="ClientID" ma:readOnly="false">
      <xsd:simpleType>
        <xsd:restriction base="dms:Text"/>
      </xsd:simpleType>
    </xsd:element>
    <xsd:element name="i67d27b5dd1e4ed29b03622e76ee750b" ma:index="39" nillable="true" ma:taxonomy="true" ma:internalName="i67d27b5dd1e4ed29b03622e76ee750b" ma:taxonomyFieldName="Badge" ma:displayName="Badge" ma:fieldId="{267d27b5-dd1e-4ed2-9b03-622e76ee750b}" ma:taxonomyMulti="true" ma:sspId="6fbc8ed7-f359-45a5-bf77-267ed0eb5b96" ma:termSetId="7a48158d-64ca-4430-ad6d-4a8049ec2f54" ma:anchorId="00000000-0000-0000-0000-000000000000" ma:open="false" ma:isKeyword="false">
      <xsd:complexType>
        <xsd:sequence>
          <xsd:element ref="pc:Terms" minOccurs="0" maxOccurs="1"/>
        </xsd:sequence>
      </xsd:complexType>
    </xsd:element>
    <xsd:element name="_dlc_DocId" ma:index="55" nillable="true" ma:displayName="Document ID Value" ma:description="The value of the document ID assigned to this item." ma:indexed="true" ma:internalName="_dlc_DocId" ma:readOnly="true">
      <xsd:simpleType>
        <xsd:restriction base="dms:Text"/>
      </xsd:simpleType>
    </xsd:element>
    <xsd:element name="_dlc_DocIdUrl" ma:index="5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94E32D3-2E21-4611-87E1-D68FC0813440" elementFormDefault="qualified">
    <xsd:import namespace="http://schemas.microsoft.com/office/2006/documentManagement/types"/>
    <xsd:import namespace="http://schemas.microsoft.com/office/infopath/2007/PartnerControls"/>
    <xsd:element name="Geography_x0020_of_x0020_OriginTaxHTField0" ma:index="15" ma:taxonomy="true" ma:internalName="Geography_x0020_of_x0020_OriginT" ma:taxonomyFieldName="Geography_x0020_of_x0020_Origin" ma:displayName="Geography of Origin" ma:indexed="true" ma:readOnly="false" ma:default="" ma:fieldId="{7a66e3fe-fcb6-4ce2-854d-45e09459c5a7}" ma:sspId="155bb128-613e-4099-96fa-4403fd0cc87b" ma:termSetId="e4340256-abf0-49e3-8918-ff7cf781b3ee"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DD08C88-CC4C-4D35-9129-A70DAA36BE5E" elementFormDefault="qualified">
    <xsd:import namespace="http://schemas.microsoft.com/office/2006/documentManagement/types"/>
    <xsd:import namespace="http://schemas.microsoft.com/office/infopath/2007/PartnerControls"/>
    <xsd:element name="Local_x0020_Content_x0020_TypeTaxHTField0" ma:index="17" ma:taxonomy="true" ma:internalName="Local_x0020_Content_x0020_TypeTa" ma:taxonomyFieldName="Local_x0020_Content_x0020_Type" ma:displayName="Local Content Type" ma:indexed="true" ma:readOnly="false" ma:default="" ma:fieldId="{2366867c-77cd-4933-afd3-42beb1b807cf}" ma:sspId="155bb128-613e-4099-96fa-4403fd0cc87b" ma:termSetId="71325c3c-855f-4016-ae90-48a98c58e6a3" ma:anchorId="00000000-0000-0000-0000-000000000000" ma:open="false" ma:isKeyword="false">
      <xsd:complexType>
        <xsd:sequence>
          <xsd:element ref="pc:Terms" minOccurs="0" maxOccurs="1"/>
        </xsd:sequence>
      </xsd:complexType>
    </xsd:element>
    <xsd:element name="Global_x0020_Content_x0020_TypeTaxHTField0" ma:index="22" ma:taxonomy="true" ma:internalName="Global_x0020_Content_x0020_TypeTa" ma:taxonomyFieldName="Global_x0020_Content_x0020_Type" ma:displayName="Global Content Type" ma:indexed="true" ma:readOnly="false" ma:default="" ma:fieldId="{fcc52b76-f36e-4614-8493-5412b2f37375}" ma:sspId="155bb128-613e-4099-96fa-4403fd0cc87b" ma:termSetId="c1d74e5f-813e-428a-9d1d-e00dfcad313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3DDB362-4C05-4E52-A8D9-EF2F47978B8D" elementFormDefault="qualified">
    <xsd:import namespace="http://schemas.microsoft.com/office/2006/documentManagement/types"/>
    <xsd:import namespace="http://schemas.microsoft.com/office/infopath/2007/PartnerControls"/>
    <xsd:element name="Primary_x0020_Global_x0020_IndustTaxHTField0" ma:index="25" nillable="true" ma:taxonomy="true" ma:internalName="Primary_x0020_Global_x0020_Indust0" ma:taxonomyFieldName="Primary_x0020_Global_x0020_Indust" ma:displayName="Primary Global Industry" ma:indexed="true" ma:readOnly="false" ma:default="" ma:fieldId="{9829ff8e-6819-48cd-ae85-b2213487d9e6}" ma:sspId="155bb128-613e-4099-96fa-4403fd0cc87b" ma:termSetId="30ef725a-a352-4b6b-b897-20d376f351a7" ma:anchorId="00000000-0000-0000-0000-000000000000" ma:open="false" ma:isKeyword="false">
      <xsd:complexType>
        <xsd:sequence>
          <xsd:element ref="pc:Terms" minOccurs="0" maxOccurs="1"/>
        </xsd:sequence>
      </xsd:complexType>
    </xsd:element>
    <xsd:element name="Primary_x0020_Local_x0020_IndustTaxHTField0" ma:index="36" nillable="true" ma:taxonomy="true" ma:internalName="Primary_x0020_Local_x0020_Indust0" ma:taxonomyFieldName="Primary_x0020_Local_x0020_Indust" ma:displayName="Primary Local Industry" ma:indexed="true" ma:readOnly="false" ma:default="" ma:fieldId="{6b32ec70-79ed-4643-bd98-fe19e9037b23}" ma:sspId="155bb128-613e-4099-96fa-4403fd0cc87b" ma:termSetId="0f50edd8-f180-4274-afbc-8048378743e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D1768DD-F29E-4DC2-9191-F2636B9FA92C" elementFormDefault="qualified">
    <xsd:import namespace="http://schemas.microsoft.com/office/2006/documentManagement/types"/>
    <xsd:import namespace="http://schemas.microsoft.com/office/infopath/2007/PartnerControls"/>
    <xsd:element name="Primary_x0020_Global_x0020_ClientTaxHTField0" ma:index="27" nillable="true" ma:taxonomy="true" ma:internalName="Primary_x0020_Global_x0020_Client0" ma:taxonomyFieldName="Primary_x0020_Global_x0020_Client" ma:displayName="Primary Global Client Service" ma:indexed="true" ma:readOnly="false" ma:default="" ma:fieldId="{6fa21800-7e1f-46b0-9b6b-749847137ef7}"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Primary_x0020_Local_x0020_ClientTaxHTField0" ma:index="48" nillable="true" ma:taxonomy="true" ma:internalName="Primary_x0020_Local_x0020_Client0" ma:taxonomyFieldName="Primary_x0020_Local_x0020_Client" ma:displayName="Primary Local Client Service" ma:indexed="true" ma:readOnly="false" ma:default="" ma:fieldId="{d67f870b-bb8f-4192-92b2-8d437da53387}"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DBE4740-AD0E-4EAB-9055-8EB1C48284D9" elementFormDefault="qualified">
    <xsd:import namespace="http://schemas.microsoft.com/office/2006/documentManagement/types"/>
    <xsd:import namespace="http://schemas.microsoft.com/office/infopath/2007/PartnerControls"/>
    <xsd:element name="IPCO_x0020_DesignationTaxHTField0" ma:index="31" nillable="true" ma:taxonomy="true" ma:internalName="IPCO_x0020_DesignationTaxHTField" ma:taxonomyFieldName="IPCO_x0020_Designation" ma:displayName="IPCO Designation" ma:fieldId="{310648f3-cc93-44e0-b643-60c4ef2fcc62}" ma:sspId="155bb128-613e-4099-96fa-4403fd0cc87b" ma:termSetId="4cc4a969-8de7-4bb8-953e-ed88518a96a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C40E9B-856B-46A7-8793-65A6FC1828D8" elementFormDefault="qualified">
    <xsd:import namespace="http://schemas.microsoft.com/office/2006/documentManagement/types"/>
    <xsd:import namespace="http://schemas.microsoft.com/office/infopath/2007/PartnerControls"/>
    <xsd:element name="KAM_x0020_LanguageTaxHTField0" ma:index="34" ma:taxonomy="true" ma:internalName="KAM_x0020_LanguageTaxHTField0" ma:taxonomyFieldName="KAM_x0020_Language" ma:displayName="KAM Language" ma:fieldId="{03648da4-bfa7-4bd1-96dc-f553c5e5b276}" ma:taxonomyMulti="true" ma:sspId="155bb128-613e-4099-96fa-4403fd0cc87b" ma:termSetId="af9198f1-74aa-4e26-b87e-e1ce7d7e6bd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A0186DE-B11E-4A29-9C82-428D45BCA71F" elementFormDefault="qualified">
    <xsd:import namespace="http://schemas.microsoft.com/office/2006/documentManagement/types"/>
    <xsd:import namespace="http://schemas.microsoft.com/office/infopath/2007/PartnerControls"/>
    <xsd:element name="Secondary_x0020_Global_x0020_ClieTaxHTField0" ma:index="41" nillable="true" ma:taxonomy="true" ma:internalName="Secondary_x0020_Global_x0020_Clie0" ma:taxonomyFieldName="Secondary_x0020_Global_x0020_Clie" ma:displayName="Secondary Global Client Service" ma:readOnly="false" ma:default="" ma:fieldId="{936248a3-a03a-4130-81ab-4d29e233dc55}" ma:taxonomyMulti="true" ma:sspId="155bb128-613e-4099-96fa-4403fd0cc87b" ma:termSetId="44905aca-31e9-4e2c-a2a6-9ecd7fd47edd" ma:anchorId="00000000-0000-0000-0000-000000000000" ma:open="false" ma:isKeyword="false">
      <xsd:complexType>
        <xsd:sequence>
          <xsd:element ref="pc:Terms" minOccurs="0" maxOccurs="1"/>
        </xsd:sequence>
      </xsd:complexType>
    </xsd:element>
    <xsd:element name="Secondary_x0020_Local_x0020_ClieTaxHTField0" ma:index="52" nillable="true" ma:taxonomy="true" ma:internalName="Secondary_x0020_Local_x0020_Clie0" ma:taxonomyFieldName="Secondary_x0020_Local_x0020_Clie" ma:displayName="Secondary Local Client Service" ma:readOnly="false" ma:default="" ma:fieldId="{28eebca6-6196-4823-bbf3-f044ece0fe5d}" ma:taxonomyMulti="true" ma:sspId="155bb128-613e-4099-96fa-4403fd0cc87b" ma:termSetId="587f4f2d-e2a8-4747-91a8-ad30e346384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46D9DE3-080E-4EC6-B7DD-508C11F603C7" elementFormDefault="qualified">
    <xsd:import namespace="http://schemas.microsoft.com/office/2006/documentManagement/types"/>
    <xsd:import namespace="http://schemas.microsoft.com/office/infopath/2007/PartnerControls"/>
    <xsd:element name="Secondary_x0020_Local_x0020_InduTaxHTField0" ma:index="43" nillable="true" ma:taxonomy="true" ma:internalName="Secondary_x0020_Local_x0020_Indu0" ma:taxonomyFieldName="Secondary_x0020_Local_x0020_Indu" ma:displayName="Secondary Local Industry" ma:readOnly="false" ma:default="" ma:fieldId="{9d641368-8359-4fe4-aecd-cff6926473b4}" ma:taxonomyMulti="true" ma:sspId="155bb128-613e-4099-96fa-4403fd0cc87b" ma:termSetId="0f50edd8-f180-4274-afbc-8048378743e9" ma:anchorId="00000000-0000-0000-0000-000000000000" ma:open="false" ma:isKeyword="false">
      <xsd:complexType>
        <xsd:sequence>
          <xsd:element ref="pc:Terms" minOccurs="0" maxOccurs="1"/>
        </xsd:sequence>
      </xsd:complexType>
    </xsd:element>
    <xsd:element name="Secondary_x0020_Global_x0020_InduTaxHTField0" ma:index="50" nillable="true" ma:taxonomy="true" ma:internalName="Secondary_x0020_Global_x0020_Indu0" ma:taxonomyFieldName="Secondary_x0020_Global_x0020_Indu" ma:displayName="Secondary Global Industry" ma:readOnly="false" ma:default="" ma:fieldId="{a5fbaf9d-c649-4b58-88fb-19e85bd08591}" ma:taxonomyMulti="true" ma:sspId="155bb128-613e-4099-96fa-4403fd0cc87b" ma:termSetId="30ef725a-a352-4b6b-b897-20d376f351a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A51C775-C49C-428B-8C1E-2F89178D00F4" elementFormDefault="qualified">
    <xsd:import namespace="http://schemas.microsoft.com/office/2006/documentManagement/types"/>
    <xsd:import namespace="http://schemas.microsoft.com/office/infopath/2007/PartnerControls"/>
    <xsd:element name="Applicable_x0020_GeographyTaxHTField0" ma:index="45" ma:taxonomy="true" ma:internalName="Applicable_x0020_GeographyTaxHTF" ma:taxonomyFieldName="Applicable_x0020_Geography" ma:displayName="Applicable Geography" ma:readOnly="false" ma:default="" ma:fieldId="{c7b729d8-9a17-489c-8693-58538765e77f}" ma:taxonomyMulti="true" ma:sspId="155bb128-613e-4099-96fa-4403fd0cc87b" ma:termSetId="2da3d9cd-4380-47c9-85c9-ae286304082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d85fd21-8b81-46b7-aaf7-5b0a877101c6" elementFormDefault="qualified">
    <xsd:import namespace="http://schemas.microsoft.com/office/2006/documentManagement/types"/>
    <xsd:import namespace="http://schemas.microsoft.com/office/infopath/2007/PartnerControls"/>
    <xsd:element name="KAMActivityId" ma:index="72" nillable="true" ma:displayName="KAM Activity Id" ma:internalName="KAMActivity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811BD8-EDA0-4CDE-8373-9C2C6F0E840C}"/>
</file>

<file path=customXml/itemProps2.xml><?xml version="1.0" encoding="utf-8"?>
<ds:datastoreItem xmlns:ds="http://schemas.openxmlformats.org/officeDocument/2006/customXml" ds:itemID="{3DF984AD-AFA4-4012-9B53-EDC7E2CE884E}">
  <ds:schemaRefs>
    <ds:schemaRef ds:uri="http://schemas.microsoft.com/office/2006/metadata/properties"/>
    <ds:schemaRef ds:uri="http://schemas.microsoft.com/office/infopath/2007/PartnerControls"/>
    <ds:schemaRef ds:uri="http://schemas.microsoft.com/sharepoint/v3"/>
    <ds:schemaRef ds:uri="7AF0C9C1-571A-469E-93FE-640E88AEF1EC"/>
    <ds:schemaRef ds:uri="8DD08C88-CC4C-4D35-9129-A70DAA36BE5E"/>
    <ds:schemaRef ds:uri="a3273937-55e7-450c-ac1f-0f7de532f690"/>
    <ds:schemaRef ds:uri="83DDB362-4C05-4E52-A8D9-EF2F47978B8D"/>
    <ds:schemaRef ds:uri="0DBE4740-AD0E-4EAB-9055-8EB1C48284D9"/>
    <ds:schemaRef ds:uri="7D1768DD-F29E-4DC2-9191-F2636B9FA92C"/>
    <ds:schemaRef ds:uri="5A51C775-C49C-428B-8C1E-2F89178D00F4"/>
    <ds:schemaRef ds:uri="39C40E9B-856B-46A7-8793-65A6FC1828D8"/>
    <ds:schemaRef ds:uri="546D9DE3-080E-4EC6-B7DD-508C11F603C7"/>
    <ds:schemaRef ds:uri="994E32D3-2E21-4611-87E1-D68FC0813440"/>
    <ds:schemaRef ds:uri="3A0186DE-B11E-4A29-9C82-428D45BCA71F"/>
    <ds:schemaRef ds:uri="106090da-c549-49f4-ac2c-5260f57025af"/>
    <ds:schemaRef ds:uri="2d85fd21-8b81-46b7-aaf7-5b0a877101c6"/>
  </ds:schemaRefs>
</ds:datastoreItem>
</file>

<file path=customXml/itemProps3.xml><?xml version="1.0" encoding="utf-8"?>
<ds:datastoreItem xmlns:ds="http://schemas.openxmlformats.org/officeDocument/2006/customXml" ds:itemID="{C3468C74-A45C-4983-8BD0-266B17F6BAAC}">
  <ds:schemaRefs>
    <ds:schemaRef ds:uri="http://schemas.openxmlformats.org/officeDocument/2006/bibliography"/>
  </ds:schemaRefs>
</ds:datastoreItem>
</file>

<file path=customXml/itemProps4.xml><?xml version="1.0" encoding="utf-8"?>
<ds:datastoreItem xmlns:ds="http://schemas.openxmlformats.org/officeDocument/2006/customXml" ds:itemID="{56EFF75E-6E09-4508-9380-C890137D8604}">
  <ds:schemaRefs>
    <ds:schemaRef ds:uri="http://schemas.microsoft.com/sharepoint/v3/contenttype/forms"/>
  </ds:schemaRefs>
</ds:datastoreItem>
</file>

<file path=customXml/itemProps5.xml><?xml version="1.0" encoding="utf-8"?>
<ds:datastoreItem xmlns:ds="http://schemas.openxmlformats.org/officeDocument/2006/customXml" ds:itemID="{D8990047-1FCD-458F-900B-9A6B810E7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06090da-c549-49f4-ac2c-5260f57025af"/>
    <ds:schemaRef ds:uri="7AF0C9C1-571A-469E-93FE-640E88AEF1EC"/>
    <ds:schemaRef ds:uri="a3273937-55e7-450c-ac1f-0f7de532f690"/>
    <ds:schemaRef ds:uri="994E32D3-2E21-4611-87E1-D68FC0813440"/>
    <ds:schemaRef ds:uri="8DD08C88-CC4C-4D35-9129-A70DAA36BE5E"/>
    <ds:schemaRef ds:uri="83DDB362-4C05-4E52-A8D9-EF2F47978B8D"/>
    <ds:schemaRef ds:uri="7D1768DD-F29E-4DC2-9191-F2636B9FA92C"/>
    <ds:schemaRef ds:uri="0DBE4740-AD0E-4EAB-9055-8EB1C48284D9"/>
    <ds:schemaRef ds:uri="39C40E9B-856B-46A7-8793-65A6FC1828D8"/>
    <ds:schemaRef ds:uri="3A0186DE-B11E-4A29-9C82-428D45BCA71F"/>
    <ds:schemaRef ds:uri="546D9DE3-080E-4EC6-B7DD-508C11F603C7"/>
    <ds:schemaRef ds:uri="5A51C775-C49C-428B-8C1E-2F89178D00F4"/>
    <ds:schemaRef ds:uri="2d85fd21-8b81-46b7-aaf7-5b0a877101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Burya (Open)</dc:creator>
  <cp:keywords/>
  <dc:description/>
  <cp:lastModifiedBy>Akhter, Shamme</cp:lastModifiedBy>
  <cp:revision>8</cp:revision>
  <dcterms:created xsi:type="dcterms:W3CDTF">2021-08-31T06:45:00Z</dcterms:created>
  <dcterms:modified xsi:type="dcterms:W3CDTF">2021-09-07T07:56:00Z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0x010100F52FB8054E7BC343824610924DACAD55</vt:lpwstr>
  </property>
  <property fmtid="{D5CDD505-2E9C-101B-9397-08002B2CF9AE}" pid="3" name="Local Content Type">
    <vt:lpwstr>3272;#United States:Practice Management:Policy, Standards and Compliance:Practice Manuals|fe5ec047-87dd-4500-baa8-d8c1487ea7a8</vt:lpwstr>
  </property>
  <property fmtid="{D5CDD505-2E9C-101B-9397-08002B2CF9AE}" pid="4" name="Primary Local Client">
    <vt:lpwstr>206;#United States:Deloitte Risk and Financial Advisory:Internal Audit and Assurance:Internal Audit (US)|b26e25fa-51c9-4659-8948-49abb82214db</vt:lpwstr>
  </property>
  <property fmtid="{D5CDD505-2E9C-101B-9397-08002B2CF9AE}" pid="5" name="Badge">
    <vt:lpwstr/>
  </property>
  <property fmtid="{D5CDD505-2E9C-101B-9397-08002B2CF9AE}" pid="6" name="Applicable Geography">
    <vt:lpwstr>5;#Global|f12aef73-b423-4016-a43f-15722d3a0a5e</vt:lpwstr>
  </property>
  <property fmtid="{D5CDD505-2E9C-101B-9397-08002B2CF9AE}" pid="7" name="Secondary Local Indu">
    <vt:lpwstr/>
  </property>
  <property fmtid="{D5CDD505-2E9C-101B-9397-08002B2CF9AE}" pid="8" name="Primary Local Indust">
    <vt:lpwstr>292;#United States:Financial Services|764af307-478c-4206-b54f-ff00768d2525</vt:lpwstr>
  </property>
  <property fmtid="{D5CDD505-2E9C-101B-9397-08002B2CF9AE}" pid="9" name="Geography of Origin">
    <vt:lpwstr>8;#Americas (Region):United States (MF):United States|8cb0099f-1dbf-4b3c-9b7f-d98051a79fa3</vt:lpwstr>
  </property>
  <property fmtid="{D5CDD505-2E9C-101B-9397-08002B2CF9AE}" pid="10" name="KAM Language">
    <vt:lpwstr>6;#English|b169a262-1aaa-4ccb-9acf-78a36c1d9bab</vt:lpwstr>
  </property>
  <property fmtid="{D5CDD505-2E9C-101B-9397-08002B2CF9AE}" pid="11" name="Primary Global Client">
    <vt:lpwstr>1921;#Risk Advisory:Operational Risk:Internal Audit|a2b5317c-b077-4994-b817-00d061f23587</vt:lpwstr>
  </property>
  <property fmtid="{D5CDD505-2E9C-101B-9397-08002B2CF9AE}" pid="12" name="Secondary Global Indu">
    <vt:lpwstr/>
  </property>
  <property fmtid="{D5CDD505-2E9C-101B-9397-08002B2CF9AE}" pid="13" name="Secondary Global Clie">
    <vt:lpwstr/>
  </property>
  <property fmtid="{D5CDD505-2E9C-101B-9397-08002B2CF9AE}" pid="14" name="Primary Global Indust">
    <vt:lpwstr>22;#Financial Services|b9bcc4e8-915e-4124-8859-42d24db2dc1c</vt:lpwstr>
  </property>
  <property fmtid="{D5CDD505-2E9C-101B-9397-08002B2CF9AE}" pid="15" name="Global Content Type">
    <vt:lpwstr>79;#Practice Management:Policy, Standards and Compliance:Practice Manuals|0f4ec4d2-69e5-4138-ad61-03b9d93306e2</vt:lpwstr>
  </property>
  <property fmtid="{D5CDD505-2E9C-101B-9397-08002B2CF9AE}" pid="16" name="Local Internal Service">
    <vt:lpwstr/>
  </property>
  <property fmtid="{D5CDD505-2E9C-101B-9397-08002B2CF9AE}" pid="17" name="Global Internal Service">
    <vt:lpwstr/>
  </property>
  <property fmtid="{D5CDD505-2E9C-101B-9397-08002B2CF9AE}" pid="18" name="Secondary Local Clie">
    <vt:lpwstr/>
  </property>
  <property fmtid="{D5CDD505-2E9C-101B-9397-08002B2CF9AE}" pid="19" name="IPCO Designation">
    <vt:lpwstr>25;#Internal Use Only unless granted permission by content owner (IPCO Alternative Use Restriction)|f38bdcd6-352a-4923-92e5-9a710e71be95</vt:lpwstr>
  </property>
  <property fmtid="{D5CDD505-2E9C-101B-9397-08002B2CF9AE}" pid="20" name="_dlc_policyId">
    <vt:lpwstr/>
  </property>
  <property fmtid="{D5CDD505-2E9C-101B-9397-08002B2CF9AE}" pid="21" name="ItemRetentionFormula">
    <vt:lpwstr/>
  </property>
  <property fmtid="{D5CDD505-2E9C-101B-9397-08002B2CF9AE}" pid="22" name="Publishing Owning Te">
    <vt:lpwstr>1190;#United States|b97cfd79-6dc1-4cc8-9397-8d84cb3cd56d</vt:lpwstr>
  </property>
  <property fmtid="{D5CDD505-2E9C-101B-9397-08002B2CF9AE}" pid="23" name="Publishing Owning Te0">
    <vt:lpwstr>United States|b97cfd79-6dc1-4cc8-9397-8d84cb3cd56d</vt:lpwstr>
  </property>
  <property fmtid="{D5CDD505-2E9C-101B-9397-08002B2CF9AE}" pid="24" name="_docset_NoMedatataSyncRequired">
    <vt:lpwstr>False</vt:lpwstr>
  </property>
  <property fmtid="{D5CDD505-2E9C-101B-9397-08002B2CF9AE}" pid="25" name="KAMDisplayFormUrl">
    <vt:lpwstr>https://www.km.deloitteresources.com/sites/live/_layouts/dtts.dr.kamdocumentforms/displayformredirect.aspx?id=IT Clearance Memo Example 05-18.docx</vt:lpwstr>
  </property>
  <property fmtid="{D5CDD505-2E9C-101B-9397-08002B2CF9AE}" pid="26" name="MSIP_Label_ea60d57e-af5b-4752-ac57-3e4f28ca11dc_Enabled">
    <vt:lpwstr>true</vt:lpwstr>
  </property>
  <property fmtid="{D5CDD505-2E9C-101B-9397-08002B2CF9AE}" pid="27" name="MSIP_Label_ea60d57e-af5b-4752-ac57-3e4f28ca11dc_SetDate">
    <vt:lpwstr>2021-08-31T06:43:26Z</vt:lpwstr>
  </property>
  <property fmtid="{D5CDD505-2E9C-101B-9397-08002B2CF9AE}" pid="28" name="MSIP_Label_ea60d57e-af5b-4752-ac57-3e4f28ca11dc_Method">
    <vt:lpwstr>Standard</vt:lpwstr>
  </property>
  <property fmtid="{D5CDD505-2E9C-101B-9397-08002B2CF9AE}" pid="29" name="MSIP_Label_ea60d57e-af5b-4752-ac57-3e4f28ca11dc_Name">
    <vt:lpwstr>ea60d57e-af5b-4752-ac57-3e4f28ca11dc</vt:lpwstr>
  </property>
  <property fmtid="{D5CDD505-2E9C-101B-9397-08002B2CF9AE}" pid="30" name="MSIP_Label_ea60d57e-af5b-4752-ac57-3e4f28ca11dc_SiteId">
    <vt:lpwstr>36da45f1-dd2c-4d1f-af13-5abe46b99921</vt:lpwstr>
  </property>
  <property fmtid="{D5CDD505-2E9C-101B-9397-08002B2CF9AE}" pid="31" name="MSIP_Label_ea60d57e-af5b-4752-ac57-3e4f28ca11dc_ActionId">
    <vt:lpwstr>582ebe09-893b-4248-8c68-59ce151f0d2f</vt:lpwstr>
  </property>
  <property fmtid="{D5CDD505-2E9C-101B-9397-08002B2CF9AE}" pid="32" name="MSIP_Label_ea60d57e-af5b-4752-ac57-3e4f28ca11dc_ContentBits">
    <vt:lpwstr>0</vt:lpwstr>
  </property>
</Properties>
</file>