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89174" w14:textId="77777777" w:rsidR="004F1990" w:rsidRDefault="004F199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535" w:type="dxa"/>
        <w:tblInd w:w="-9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058"/>
        <w:gridCol w:w="1692"/>
        <w:gridCol w:w="2785"/>
      </w:tblGrid>
      <w:tr w:rsidR="004F1990" w14:paraId="42D89176" w14:textId="77777777">
        <w:trPr>
          <w:trHeight w:val="288"/>
        </w:trPr>
        <w:tc>
          <w:tcPr>
            <w:tcW w:w="9535" w:type="dxa"/>
            <w:gridSpan w:val="3"/>
          </w:tcPr>
          <w:p w14:paraId="42D89175" w14:textId="683C03F9" w:rsidR="004F1990" w:rsidRDefault="00F74087">
            <w:pPr>
              <w:spacing w:line="276" w:lineRule="auto"/>
              <w:ind w:left="-105" w:firstLine="105"/>
              <w:jc w:val="both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 xml:space="preserve">Client Name: </w:t>
            </w:r>
            <w:r w:rsidR="008E0473" w:rsidRPr="008E0473">
              <w:t>Cosmopolitan Industries (Pvt.) Limited</w:t>
            </w:r>
          </w:p>
        </w:tc>
      </w:tr>
      <w:tr w:rsidR="004F1990" w14:paraId="42D89178" w14:textId="77777777">
        <w:trPr>
          <w:trHeight w:val="288"/>
        </w:trPr>
        <w:tc>
          <w:tcPr>
            <w:tcW w:w="9535" w:type="dxa"/>
            <w:gridSpan w:val="3"/>
          </w:tcPr>
          <w:p w14:paraId="42D89177" w14:textId="77777777" w:rsidR="004F1990" w:rsidRDefault="00F74087">
            <w:pPr>
              <w:spacing w:line="276" w:lineRule="auto"/>
              <w:ind w:left="-105" w:firstLine="105"/>
              <w:jc w:val="both"/>
              <w:rPr>
                <w:b/>
              </w:rPr>
            </w:pPr>
            <w:r>
              <w:rPr>
                <w:b/>
              </w:rPr>
              <w:t xml:space="preserve">Accounting period: </w:t>
            </w:r>
            <w:r>
              <w:t>01 July 2020 to 30 June 2021</w:t>
            </w:r>
          </w:p>
        </w:tc>
      </w:tr>
      <w:tr w:rsidR="004F1990" w14:paraId="42D8917E" w14:textId="77777777">
        <w:trPr>
          <w:trHeight w:val="288"/>
        </w:trPr>
        <w:tc>
          <w:tcPr>
            <w:tcW w:w="5058" w:type="dxa"/>
          </w:tcPr>
          <w:p w14:paraId="42D89179" w14:textId="77777777" w:rsidR="004F1990" w:rsidRDefault="00F74087">
            <w:pPr>
              <w:spacing w:line="276" w:lineRule="auto"/>
              <w:ind w:left="-105" w:firstLine="105"/>
              <w:jc w:val="both"/>
            </w:pPr>
            <w:r>
              <w:rPr>
                <w:b/>
              </w:rPr>
              <w:t xml:space="preserve">Prepared </w:t>
            </w:r>
            <w:proofErr w:type="gramStart"/>
            <w:r>
              <w:rPr>
                <w:b/>
              </w:rPr>
              <w:t>by: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Md. Nahid Hasan Badhan</w:t>
            </w:r>
          </w:p>
          <w:p w14:paraId="42D8917A" w14:textId="77777777" w:rsidR="004F1990" w:rsidRDefault="00F74087">
            <w:pPr>
              <w:spacing w:line="276" w:lineRule="auto"/>
              <w:ind w:left="-105" w:firstLine="105"/>
              <w:jc w:val="both"/>
              <w:rPr>
                <w:b/>
              </w:rPr>
            </w:pPr>
            <w:r>
              <w:rPr>
                <w:b/>
              </w:rPr>
              <w:t xml:space="preserve">Reviewed by: </w:t>
            </w:r>
            <w:r>
              <w:t>Rounak Rayhan Shuban</w:t>
            </w:r>
          </w:p>
        </w:tc>
        <w:tc>
          <w:tcPr>
            <w:tcW w:w="1692" w:type="dxa"/>
          </w:tcPr>
          <w:p w14:paraId="42D8917B" w14:textId="77777777" w:rsidR="004F1990" w:rsidRDefault="004F1990">
            <w:pPr>
              <w:spacing w:line="276" w:lineRule="auto"/>
              <w:ind w:left="-111" w:firstLine="105"/>
              <w:jc w:val="both"/>
              <w:rPr>
                <w:b/>
              </w:rPr>
            </w:pPr>
          </w:p>
        </w:tc>
        <w:tc>
          <w:tcPr>
            <w:tcW w:w="2785" w:type="dxa"/>
          </w:tcPr>
          <w:p w14:paraId="42D8917C" w14:textId="77777777" w:rsidR="004F1990" w:rsidRDefault="00F74087">
            <w:pPr>
              <w:spacing w:line="276" w:lineRule="auto"/>
              <w:ind w:left="-105" w:firstLine="105"/>
              <w:jc w:val="both"/>
            </w:pPr>
            <w:r>
              <w:rPr>
                <w:b/>
              </w:rPr>
              <w:t xml:space="preserve">Date: </w:t>
            </w:r>
            <w:r>
              <w:t>18 August 2021</w:t>
            </w:r>
          </w:p>
          <w:p w14:paraId="42D8917D" w14:textId="77777777" w:rsidR="004F1990" w:rsidRDefault="00F74087">
            <w:pPr>
              <w:spacing w:line="276" w:lineRule="auto"/>
              <w:ind w:left="-105" w:firstLine="105"/>
              <w:jc w:val="both"/>
            </w:pPr>
            <w:r>
              <w:rPr>
                <w:b/>
              </w:rPr>
              <w:t xml:space="preserve">Date: </w:t>
            </w:r>
            <w:r>
              <w:t>19 August 2021</w:t>
            </w:r>
          </w:p>
        </w:tc>
      </w:tr>
      <w:tr w:rsidR="004F1990" w14:paraId="42D89182" w14:textId="77777777">
        <w:trPr>
          <w:trHeight w:val="288"/>
        </w:trPr>
        <w:tc>
          <w:tcPr>
            <w:tcW w:w="5058" w:type="dxa"/>
          </w:tcPr>
          <w:p w14:paraId="42D8917F" w14:textId="77777777" w:rsidR="004F1990" w:rsidRDefault="00F74087">
            <w:pPr>
              <w:spacing w:line="276" w:lineRule="auto"/>
              <w:ind w:left="-110" w:firstLine="105"/>
              <w:jc w:val="both"/>
              <w:rPr>
                <w:b/>
              </w:rPr>
            </w:pPr>
            <w:r>
              <w:rPr>
                <w:b/>
              </w:rPr>
              <w:t xml:space="preserve">Further Reviewed by: </w:t>
            </w:r>
            <w:r>
              <w:t>Humaun Ahamed</w:t>
            </w:r>
          </w:p>
        </w:tc>
        <w:tc>
          <w:tcPr>
            <w:tcW w:w="1692" w:type="dxa"/>
          </w:tcPr>
          <w:p w14:paraId="42D89180" w14:textId="77777777" w:rsidR="004F1990" w:rsidRDefault="004F1990">
            <w:pPr>
              <w:spacing w:line="276" w:lineRule="auto"/>
              <w:ind w:left="-105" w:firstLine="105"/>
              <w:jc w:val="both"/>
              <w:rPr>
                <w:b/>
              </w:rPr>
            </w:pPr>
          </w:p>
        </w:tc>
        <w:tc>
          <w:tcPr>
            <w:tcW w:w="2785" w:type="dxa"/>
          </w:tcPr>
          <w:p w14:paraId="42D89181" w14:textId="77777777" w:rsidR="004F1990" w:rsidRDefault="00F74087">
            <w:pPr>
              <w:spacing w:line="276" w:lineRule="auto"/>
              <w:ind w:left="-105" w:firstLine="105"/>
              <w:jc w:val="both"/>
              <w:rPr>
                <w:b/>
              </w:rPr>
            </w:pPr>
            <w:r>
              <w:rPr>
                <w:b/>
              </w:rPr>
              <w:t xml:space="preserve">Date: </w:t>
            </w:r>
            <w:r>
              <w:t>19 August 2021</w:t>
            </w:r>
          </w:p>
        </w:tc>
      </w:tr>
      <w:tr w:rsidR="004F1990" w14:paraId="42D89184" w14:textId="77777777">
        <w:trPr>
          <w:trHeight w:val="288"/>
        </w:trPr>
        <w:tc>
          <w:tcPr>
            <w:tcW w:w="9535" w:type="dxa"/>
            <w:gridSpan w:val="3"/>
          </w:tcPr>
          <w:p w14:paraId="42D89183" w14:textId="77777777" w:rsidR="004F1990" w:rsidRDefault="00F74087">
            <w:pPr>
              <w:spacing w:line="276" w:lineRule="auto"/>
              <w:ind w:left="-105" w:firstLine="105"/>
              <w:jc w:val="both"/>
            </w:pPr>
            <w:r>
              <w:rPr>
                <w:b/>
              </w:rPr>
              <w:t xml:space="preserve">Subject: </w:t>
            </w:r>
            <w:r>
              <w:t>Memo of test of details on Inter Company Payable</w:t>
            </w:r>
          </w:p>
        </w:tc>
      </w:tr>
    </w:tbl>
    <w:p w14:paraId="42D89185" w14:textId="77777777" w:rsidR="004F1990" w:rsidRDefault="00F74087">
      <w:pPr>
        <w:spacing w:before="240"/>
        <w:jc w:val="both"/>
        <w:rPr>
          <w:b/>
        </w:rPr>
      </w:pPr>
      <w:r>
        <w:rPr>
          <w:b/>
        </w:rPr>
        <w:t xml:space="preserve">Objective </w:t>
      </w:r>
    </w:p>
    <w:p w14:paraId="42D89186" w14:textId="77777777" w:rsidR="004F1990" w:rsidRDefault="00F7408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The objective of the Memo is to document the work procedures performed on Inter Company Payable.</w:t>
      </w:r>
    </w:p>
    <w:p w14:paraId="42D89187" w14:textId="77777777" w:rsidR="004F1990" w:rsidRDefault="004F19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42D89188" w14:textId="77777777" w:rsidR="004F1990" w:rsidRDefault="00F7408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Background</w:t>
      </w:r>
      <w:r>
        <w:rPr>
          <w:color w:val="000000"/>
        </w:rPr>
        <w:t xml:space="preserve"> </w:t>
      </w:r>
    </w:p>
    <w:p w14:paraId="42D8918A" w14:textId="7644F10A" w:rsidR="004F1990" w:rsidRDefault="00A65E3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A65E38">
        <w:rPr>
          <w:color w:val="000000"/>
        </w:rPr>
        <w:t>Cosmopolitan Industries (Pvt.) Limited (here-in-after referred to as the "Company" or "(CIPL") was incorporated in Dhaka, Bangladesh on 26 June 2005 as a private limited company under the Companies Act, 1994. The registered office of the Company is situated at House # 17, Road # 15, Sector # 03, Rabindra Swarani, Uttara, Dhaka. The Company is a subsidiary of Epic Designers Ltd., Hong Kong.</w:t>
      </w:r>
    </w:p>
    <w:p w14:paraId="4DE0003F" w14:textId="77777777" w:rsidR="00A65E38" w:rsidRDefault="00A65E3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highlight w:val="yellow"/>
        </w:rPr>
      </w:pPr>
    </w:p>
    <w:p w14:paraId="42D8918B" w14:textId="77777777" w:rsidR="004F1990" w:rsidRDefault="00F74087">
      <w:pPr>
        <w:pBdr>
          <w:top w:val="nil"/>
          <w:left w:val="nil"/>
          <w:bottom w:val="nil"/>
          <w:right w:val="nil"/>
          <w:between w:val="nil"/>
        </w:pBdr>
        <w:spacing w:after="0"/>
        <w:ind w:left="-90" w:firstLine="90"/>
        <w:jc w:val="both"/>
        <w:rPr>
          <w:b/>
          <w:color w:val="000000"/>
        </w:rPr>
      </w:pPr>
      <w:r>
        <w:rPr>
          <w:b/>
          <w:color w:val="000000"/>
        </w:rPr>
        <w:t>Audit coverage</w:t>
      </w:r>
    </w:p>
    <w:p w14:paraId="42D8918C" w14:textId="77777777" w:rsidR="004F1990" w:rsidRDefault="00F74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To obtain the population Inter Company Payable at the year-end and tie out the same with financial </w:t>
      </w:r>
      <w:proofErr w:type="gramStart"/>
      <w:r>
        <w:rPr>
          <w:color w:val="000000"/>
        </w:rPr>
        <w:t>statement;</w:t>
      </w:r>
      <w:proofErr w:type="gramEnd"/>
      <w:r>
        <w:rPr>
          <w:color w:val="000000"/>
        </w:rPr>
        <w:t xml:space="preserve"> </w:t>
      </w:r>
    </w:p>
    <w:p w14:paraId="42D8918D" w14:textId="77777777" w:rsidR="004F1990" w:rsidRDefault="00F74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To obtain commercial invoice, Bank </w:t>
      </w:r>
      <w:proofErr w:type="gramStart"/>
      <w:r>
        <w:rPr>
          <w:color w:val="000000"/>
        </w:rPr>
        <w:t>Statements ;</w:t>
      </w:r>
      <w:proofErr w:type="gramEnd"/>
    </w:p>
    <w:p w14:paraId="42D8918E" w14:textId="77777777" w:rsidR="004F1990" w:rsidRDefault="00F7408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  <w:r>
        <w:rPr>
          <w:color w:val="000000"/>
        </w:rPr>
        <w:t xml:space="preserve">To perform test of details from selected </w:t>
      </w:r>
      <w:proofErr w:type="gramStart"/>
      <w:r>
        <w:rPr>
          <w:color w:val="000000"/>
        </w:rPr>
        <w:t>sample;</w:t>
      </w:r>
      <w:proofErr w:type="gramEnd"/>
    </w:p>
    <w:p w14:paraId="42D8918F" w14:textId="77777777" w:rsidR="004F1990" w:rsidRDefault="004F19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highlight w:val="yellow"/>
        </w:rPr>
      </w:pPr>
    </w:p>
    <w:p w14:paraId="42D89190" w14:textId="77777777" w:rsidR="004F1990" w:rsidRDefault="00F7408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>
        <w:rPr>
          <w:b/>
          <w:color w:val="000000"/>
        </w:rPr>
        <w:t>About on Inter Company Payable:</w:t>
      </w:r>
    </w:p>
    <w:p w14:paraId="42D89191" w14:textId="77777777" w:rsidR="004F1990" w:rsidRDefault="00F74087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 Inter Company Payable amount reflected at the accounts consists of following items:</w:t>
      </w:r>
    </w:p>
    <w:p w14:paraId="42D89192" w14:textId="77777777" w:rsidR="004F1990" w:rsidRDefault="004F1990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</w:p>
    <w:p w14:paraId="42D89193" w14:textId="77777777" w:rsidR="004F1990" w:rsidRDefault="00F740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Trade Payable</w:t>
      </w:r>
    </w:p>
    <w:p w14:paraId="42D89194" w14:textId="77777777" w:rsidR="004F1990" w:rsidRDefault="00F740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 xml:space="preserve"> Non- Trade Payable</w:t>
      </w:r>
    </w:p>
    <w:p w14:paraId="42D89195" w14:textId="77777777" w:rsidR="004F1990" w:rsidRDefault="004F1990">
      <w:pPr>
        <w:jc w:val="both"/>
        <w:rPr>
          <w:highlight w:val="yellow"/>
        </w:rPr>
      </w:pPr>
    </w:p>
    <w:p w14:paraId="42D89196" w14:textId="77777777" w:rsidR="004F1990" w:rsidRDefault="00F74087">
      <w:pPr>
        <w:jc w:val="both"/>
      </w:pPr>
      <w:r>
        <w:rPr>
          <w:b/>
        </w:rPr>
        <w:t>Approach followed by the Engagement Team</w:t>
      </w:r>
    </w:p>
    <w:p w14:paraId="42D89197" w14:textId="77777777" w:rsidR="004F1990" w:rsidRDefault="00F74087">
      <w:pPr>
        <w:jc w:val="both"/>
      </w:pPr>
      <w:r>
        <w:t>We (Engagement Team) have performed following procedures for o</w:t>
      </w:r>
      <w:r>
        <w:t>n Inter Company Payable balances:</w:t>
      </w:r>
    </w:p>
    <w:p w14:paraId="42D89198" w14:textId="77777777" w:rsidR="004F1990" w:rsidRDefault="00F74087">
      <w:pPr>
        <w:spacing w:after="0" w:line="240" w:lineRule="auto"/>
        <w:jc w:val="both"/>
        <w:rPr>
          <w:b/>
        </w:rPr>
      </w:pPr>
      <w:r>
        <w:rPr>
          <w:b/>
        </w:rPr>
        <w:t>Conclusion:</w:t>
      </w:r>
    </w:p>
    <w:p w14:paraId="42D89199" w14:textId="77777777" w:rsidR="004F1990" w:rsidRDefault="004F1990">
      <w:pPr>
        <w:spacing w:after="0" w:line="240" w:lineRule="auto"/>
        <w:jc w:val="both"/>
        <w:rPr>
          <w:b/>
        </w:rPr>
      </w:pPr>
    </w:p>
    <w:p w14:paraId="42D8919A" w14:textId="77777777" w:rsidR="004F1990" w:rsidRDefault="00F74087">
      <w:pPr>
        <w:spacing w:after="0"/>
        <w:jc w:val="both"/>
      </w:pPr>
      <w:r>
        <w:t xml:space="preserve">On the above procedures, we have confirmed the balances of </w:t>
      </w:r>
      <w:r>
        <w:rPr>
          <w:b/>
        </w:rPr>
        <w:t xml:space="preserve">Inter Company Payable, </w:t>
      </w:r>
      <w:r>
        <w:t>shown on Financial Statement and noted that everything is presented accordingly.</w:t>
      </w:r>
    </w:p>
    <w:p w14:paraId="42D8919B" w14:textId="77777777" w:rsidR="004F1990" w:rsidRDefault="004F1990">
      <w:pPr>
        <w:spacing w:after="0"/>
        <w:jc w:val="both"/>
      </w:pPr>
    </w:p>
    <w:p w14:paraId="42D8919C" w14:textId="62C88997" w:rsidR="004F1990" w:rsidRDefault="00F740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 xml:space="preserve">We have obtained </w:t>
      </w:r>
      <w:r>
        <w:rPr>
          <w:b/>
          <w:color w:val="000000"/>
        </w:rPr>
        <w:t xml:space="preserve">Inter Company Payable, </w:t>
      </w:r>
      <w:r>
        <w:rPr>
          <w:color w:val="000000"/>
        </w:rPr>
        <w:t>balances from the draft financial statements of current period and tied out the balance with trial balance as well as general ledger b</w:t>
      </w:r>
      <w:r>
        <w:rPr>
          <w:color w:val="000000"/>
        </w:rPr>
        <w:t xml:space="preserve">alances. In addition, we have checked whether adequate disclosures are given for the amount on the draft financial statements. Work ref: </w:t>
      </w:r>
      <w:r>
        <w:rPr>
          <w:color w:val="4472C4"/>
        </w:rPr>
        <w:t xml:space="preserve">IP </w:t>
      </w:r>
      <w:proofErr w:type="gramStart"/>
      <w:r w:rsidR="003550D6">
        <w:rPr>
          <w:color w:val="4472C4"/>
        </w:rPr>
        <w:t>0</w:t>
      </w:r>
      <w:r>
        <w:rPr>
          <w:color w:val="4472C4"/>
        </w:rPr>
        <w:t>90;</w:t>
      </w:r>
      <w:proofErr w:type="gramEnd"/>
    </w:p>
    <w:p w14:paraId="42D8919D" w14:textId="77777777" w:rsidR="004F1990" w:rsidRDefault="004F1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/>
          <w:sz w:val="16"/>
          <w:szCs w:val="16"/>
          <w:highlight w:val="yellow"/>
        </w:rPr>
      </w:pPr>
    </w:p>
    <w:p w14:paraId="42D8919E" w14:textId="52B7D586" w:rsidR="004F1990" w:rsidRDefault="00F740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</w:rPr>
      </w:pPr>
      <w:r>
        <w:rPr>
          <w:color w:val="000000"/>
        </w:rPr>
        <w:t>We have obtained commercial invoice with related credit advise/bank statement which is maintained by the compan</w:t>
      </w:r>
      <w:r>
        <w:rPr>
          <w:color w:val="000000"/>
        </w:rPr>
        <w:t>y and performed Test of details. Work ref:</w:t>
      </w:r>
      <w:r>
        <w:rPr>
          <w:color w:val="4472C4"/>
        </w:rPr>
        <w:t xml:space="preserve"> IP </w:t>
      </w:r>
      <w:proofErr w:type="gramStart"/>
      <w:r w:rsidR="003550D6">
        <w:rPr>
          <w:color w:val="4472C4"/>
        </w:rPr>
        <w:t>29</w:t>
      </w:r>
      <w:r>
        <w:rPr>
          <w:color w:val="4472C4"/>
        </w:rPr>
        <w:t>0;</w:t>
      </w:r>
      <w:proofErr w:type="gramEnd"/>
    </w:p>
    <w:p w14:paraId="42D8919F" w14:textId="77777777" w:rsidR="004F1990" w:rsidRDefault="004F199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42D891A0" w14:textId="77777777" w:rsidR="004F1990" w:rsidRDefault="004F199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20"/>
        <w:jc w:val="both"/>
        <w:rPr>
          <w:color w:val="000000"/>
          <w:sz w:val="16"/>
          <w:szCs w:val="16"/>
          <w:highlight w:val="yellow"/>
        </w:rPr>
      </w:pPr>
    </w:p>
    <w:p w14:paraId="42D891A1" w14:textId="77777777" w:rsidR="004F1990" w:rsidRDefault="004F199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color w:val="000000"/>
          <w:highlight w:val="yellow"/>
        </w:rPr>
      </w:pPr>
    </w:p>
    <w:p w14:paraId="42D891A2" w14:textId="77777777" w:rsidR="004F1990" w:rsidRDefault="00F74087">
      <w:pPr>
        <w:spacing w:after="0" w:line="240" w:lineRule="auto"/>
        <w:jc w:val="both"/>
        <w:rPr>
          <w:b/>
        </w:rPr>
      </w:pPr>
      <w:r>
        <w:rPr>
          <w:b/>
        </w:rPr>
        <w:t>From the above documents we have checked:</w:t>
      </w:r>
    </w:p>
    <w:p w14:paraId="42D891A3" w14:textId="77777777" w:rsidR="004F1990" w:rsidRDefault="004F1990">
      <w:pPr>
        <w:spacing w:after="0" w:line="240" w:lineRule="auto"/>
        <w:jc w:val="both"/>
        <w:rPr>
          <w:b/>
        </w:rPr>
      </w:pPr>
    </w:p>
    <w:tbl>
      <w:tblPr>
        <w:tblStyle w:val="a0"/>
        <w:tblW w:w="9390" w:type="dxa"/>
        <w:tblInd w:w="93" w:type="dxa"/>
        <w:tblLayout w:type="fixed"/>
        <w:tblLook w:val="0400" w:firstRow="0" w:lastRow="0" w:firstColumn="0" w:lastColumn="0" w:noHBand="0" w:noVBand="1"/>
      </w:tblPr>
      <w:tblGrid>
        <w:gridCol w:w="9390"/>
      </w:tblGrid>
      <w:tr w:rsidR="004F1990" w14:paraId="42D891A7" w14:textId="77777777">
        <w:trPr>
          <w:trHeight w:val="312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D891A4" w14:textId="77777777" w:rsidR="004F1990" w:rsidRDefault="00F7408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rPr>
                <w:color w:val="000000"/>
              </w:rPr>
              <w:t>Bank status: Checking the related subsequent receipt of amount in bank statement/ advice</w:t>
            </w:r>
          </w:p>
          <w:p w14:paraId="42D891A5" w14:textId="77777777" w:rsidR="004F1990" w:rsidRDefault="00F74087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</w:pPr>
            <w:r>
              <w:rPr>
                <w:color w:val="000000"/>
              </w:rPr>
              <w:t>Commercial Invoice: Confirm the balance of commercial invoice with Bank Statements.</w:t>
            </w:r>
          </w:p>
          <w:p w14:paraId="42D891A6" w14:textId="77777777" w:rsidR="004F1990" w:rsidRDefault="004F1990">
            <w:pPr>
              <w:jc w:val="both"/>
            </w:pPr>
          </w:p>
        </w:tc>
      </w:tr>
      <w:tr w:rsidR="004F1990" w14:paraId="42D891A9" w14:textId="77777777">
        <w:trPr>
          <w:trHeight w:val="312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2D891A8" w14:textId="77777777" w:rsidR="004F1990" w:rsidRDefault="004F1990">
            <w:pPr>
              <w:spacing w:after="0" w:line="240" w:lineRule="auto"/>
            </w:pPr>
          </w:p>
        </w:tc>
      </w:tr>
    </w:tbl>
    <w:p w14:paraId="42D891AA" w14:textId="77777777" w:rsidR="004F1990" w:rsidRDefault="004F199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highlight w:val="yellow"/>
        </w:rPr>
      </w:pPr>
    </w:p>
    <w:p w14:paraId="42D891AB" w14:textId="77777777" w:rsidR="004F1990" w:rsidRDefault="004F1990">
      <w:pPr>
        <w:spacing w:after="0"/>
        <w:jc w:val="both"/>
      </w:pPr>
    </w:p>
    <w:p w14:paraId="42D891AC" w14:textId="77777777" w:rsidR="004F1990" w:rsidRDefault="004F1990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highlight w:val="yellow"/>
        </w:rPr>
      </w:pPr>
    </w:p>
    <w:p w14:paraId="42D891AD" w14:textId="77777777" w:rsidR="004F1990" w:rsidRDefault="00F74087">
      <w:pPr>
        <w:spacing w:after="0" w:line="240" w:lineRule="auto"/>
        <w:jc w:val="both"/>
        <w:rPr>
          <w:b/>
        </w:rPr>
      </w:pPr>
      <w:r>
        <w:rPr>
          <w:b/>
        </w:rPr>
        <w:t>Conclusion:</w:t>
      </w:r>
    </w:p>
    <w:p w14:paraId="42D891AE" w14:textId="77777777" w:rsidR="004F1990" w:rsidRDefault="004F1990">
      <w:pPr>
        <w:spacing w:after="0" w:line="240" w:lineRule="auto"/>
        <w:jc w:val="both"/>
        <w:rPr>
          <w:b/>
        </w:rPr>
      </w:pPr>
    </w:p>
    <w:p w14:paraId="42D891AF" w14:textId="77777777" w:rsidR="004F1990" w:rsidRDefault="00F74087">
      <w:pPr>
        <w:spacing w:after="0"/>
        <w:jc w:val="both"/>
      </w:pPr>
      <w:r>
        <w:t xml:space="preserve">On the above procedures, we have confirmed the balances of </w:t>
      </w:r>
      <w:r>
        <w:rPr>
          <w:b/>
        </w:rPr>
        <w:t xml:space="preserve">Inter Company Payable, </w:t>
      </w:r>
      <w:r>
        <w:t>shown on Financial Statement and noted that everything is presented accordingly.</w:t>
      </w:r>
    </w:p>
    <w:p w14:paraId="42D891B0" w14:textId="77777777" w:rsidR="004F1990" w:rsidRDefault="004F1990"/>
    <w:sectPr w:rsidR="004F1990">
      <w:headerReference w:type="default" r:id="rId8"/>
      <w:pgSz w:w="11906" w:h="16838"/>
      <w:pgMar w:top="1886" w:right="1008" w:bottom="1440" w:left="144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81F135" w14:textId="77777777" w:rsidR="00F74087" w:rsidRDefault="00F74087">
      <w:pPr>
        <w:spacing w:after="0" w:line="240" w:lineRule="auto"/>
      </w:pPr>
      <w:r>
        <w:separator/>
      </w:r>
    </w:p>
  </w:endnote>
  <w:endnote w:type="continuationSeparator" w:id="0">
    <w:p w14:paraId="4742F06A" w14:textId="77777777" w:rsidR="00F74087" w:rsidRDefault="00F74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515643" w14:textId="77777777" w:rsidR="00F74087" w:rsidRDefault="00F74087">
      <w:pPr>
        <w:spacing w:after="0" w:line="240" w:lineRule="auto"/>
      </w:pPr>
      <w:r>
        <w:separator/>
      </w:r>
    </w:p>
  </w:footnote>
  <w:footnote w:type="continuationSeparator" w:id="0">
    <w:p w14:paraId="44693DF6" w14:textId="77777777" w:rsidR="00F74087" w:rsidRDefault="00F74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891B1" w14:textId="77777777" w:rsidR="004F1990" w:rsidRDefault="00F74087">
    <w:pPr>
      <w:pBdr>
        <w:top w:val="nil"/>
        <w:left w:val="nil"/>
        <w:bottom w:val="nil"/>
        <w:right w:val="nil"/>
        <w:between w:val="nil"/>
      </w:pBdr>
      <w:spacing w:after="0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ab/>
    </w:r>
    <w:r>
      <w:rPr>
        <w:noProof/>
      </w:rPr>
      <w:drawing>
        <wp:anchor distT="0" distB="0" distL="0" distR="0" simplePos="0" relativeHeight="251658240" behindDoc="1" locked="0" layoutInCell="1" hidden="0" allowOverlap="1" wp14:anchorId="42D891B3" wp14:editId="42D891B4">
          <wp:simplePos x="0" y="0"/>
          <wp:positionH relativeFrom="column">
            <wp:posOffset>-228599</wp:posOffset>
          </wp:positionH>
          <wp:positionV relativeFrom="paragraph">
            <wp:posOffset>-57784</wp:posOffset>
          </wp:positionV>
          <wp:extent cx="1746250" cy="801370"/>
          <wp:effectExtent l="0" t="0" r="0" b="0"/>
          <wp:wrapNone/>
          <wp:docPr id="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46250" cy="801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D5DF95" w14:textId="77777777" w:rsidR="003E5566" w:rsidRDefault="00F74087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000000"/>
        <w:sz w:val="24"/>
        <w:szCs w:val="24"/>
      </w:rPr>
    </w:pPr>
    <w:r>
      <w:rPr>
        <w:b/>
        <w:color w:val="000000"/>
        <w:sz w:val="24"/>
        <w:szCs w:val="24"/>
      </w:rPr>
      <w:t xml:space="preserve">Ref: </w:t>
    </w:r>
    <w:r w:rsidR="003E5566">
      <w:rPr>
        <w:color w:val="000000"/>
        <w:sz w:val="24"/>
        <w:szCs w:val="24"/>
      </w:rPr>
      <w:t>CIP</w:t>
    </w:r>
    <w:r>
      <w:rPr>
        <w:color w:val="000000"/>
        <w:sz w:val="24"/>
        <w:szCs w:val="24"/>
      </w:rPr>
      <w:t xml:space="preserve">L- IP- </w:t>
    </w:r>
    <w:r w:rsidR="003E5566">
      <w:rPr>
        <w:color w:val="000000"/>
        <w:sz w:val="24"/>
        <w:szCs w:val="24"/>
      </w:rPr>
      <w:t>295</w:t>
    </w:r>
  </w:p>
  <w:p w14:paraId="42D891B2" w14:textId="63A0B1E7" w:rsidR="004F1990" w:rsidRDefault="00F74087" w:rsidP="003E5566">
    <w:pPr>
      <w:pBdr>
        <w:top w:val="nil"/>
        <w:left w:val="nil"/>
        <w:bottom w:val="nil"/>
        <w:right w:val="nil"/>
        <w:between w:val="nil"/>
      </w:pBdr>
      <w:spacing w:after="0"/>
      <w:jc w:val="center"/>
      <w:rPr>
        <w:color w:val="000000"/>
      </w:rPr>
    </w:pPr>
    <w:r>
      <w:rPr>
        <w:color w:val="000000"/>
        <w:sz w:val="36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00071"/>
    <w:multiLevelType w:val="multilevel"/>
    <w:tmpl w:val="199CFF5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4D5EF0"/>
    <w:multiLevelType w:val="multilevel"/>
    <w:tmpl w:val="C052884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3D7675"/>
    <w:multiLevelType w:val="multilevel"/>
    <w:tmpl w:val="934A2142"/>
    <w:lvl w:ilvl="0">
      <w:start w:val="1"/>
      <w:numFmt w:val="lowerLetter"/>
      <w:lvlText w:val="%1)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D848CF"/>
    <w:multiLevelType w:val="multilevel"/>
    <w:tmpl w:val="EE886EC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990"/>
    <w:rsid w:val="003550D6"/>
    <w:rsid w:val="003E5566"/>
    <w:rsid w:val="004F1990"/>
    <w:rsid w:val="008E0473"/>
    <w:rsid w:val="00A65E38"/>
    <w:rsid w:val="00F7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89174"/>
  <w15:docId w15:val="{FC5DAB04-6FAA-45A2-8B69-D4C53380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E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TiPCe5Z2ItaOwBmzNN6wTZEB7Q==">AMUW2mVLgt2p48wyALaProLJbkvBR+3T15omTvoz/ot3ZOb+5SYOE3LUVw3tWTKeXpUcnF5U78MRpcphp2res/mbldWhb5KssJnqhrR8Wlj2j5aNcjW9h48TP/jHWRgTrzJ5n7W2j9tz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23C44B5-0252-41EC-B00B-75F3B404D002}"/>
</file>

<file path=customXml/itemProps3.xml><?xml version="1.0" encoding="utf-8"?>
<ds:datastoreItem xmlns:ds="http://schemas.openxmlformats.org/officeDocument/2006/customXml" ds:itemID="{8D2FF47A-7E37-4F1C-9B78-C069C0D9BCC4}"/>
</file>

<file path=customXml/itemProps4.xml><?xml version="1.0" encoding="utf-8"?>
<ds:datastoreItem xmlns:ds="http://schemas.openxmlformats.org/officeDocument/2006/customXml" ds:itemID="{EFE246D3-5D42-4E2F-98DD-6C83807C2F7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Nahid Hasan</cp:lastModifiedBy>
  <cp:revision>5</cp:revision>
  <dcterms:created xsi:type="dcterms:W3CDTF">2020-08-08T06:43:00Z</dcterms:created>
  <dcterms:modified xsi:type="dcterms:W3CDTF">2021-08-30T15:14:00Z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2021-08-16T12:05:37Z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eb3d9def-339c-48a6-81c0-238834d916e7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