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001389DA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702FC8">
              <w:rPr>
                <w:rFonts w:cstheme="minorHAnsi"/>
                <w:szCs w:val="20"/>
              </w:rPr>
              <w:t xml:space="preserve">Cosmopolitan Industries </w:t>
            </w:r>
            <w:proofErr w:type="spellStart"/>
            <w:r w:rsidR="00702FC8">
              <w:rPr>
                <w:rFonts w:cstheme="minorHAnsi"/>
                <w:szCs w:val="20"/>
              </w:rPr>
              <w:t>Pvt.</w:t>
            </w:r>
            <w:proofErr w:type="spellEnd"/>
            <w:r w:rsidR="00671911" w:rsidRPr="00EE4688">
              <w:rPr>
                <w:rFonts w:cstheme="minorHAnsi"/>
                <w:szCs w:val="20"/>
              </w:rPr>
              <w:t xml:space="preserve"> Ltd</w:t>
            </w:r>
            <w:r w:rsidR="00FF2B45">
              <w:rPr>
                <w:rFonts w:cstheme="minorHAnsi"/>
                <w:szCs w:val="20"/>
              </w:rPr>
              <w:t xml:space="preserve"> (CIPL)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141D064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702FC8">
              <w:rPr>
                <w:rFonts w:cstheme="minorHAnsi"/>
                <w:szCs w:val="20"/>
              </w:rPr>
              <w:t>Syed Muhammad Ali</w:t>
            </w:r>
          </w:p>
          <w:p w14:paraId="5427C96E" w14:textId="1029122B" w:rsidR="00B400A6" w:rsidRPr="00702FC8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702FC8">
              <w:rPr>
                <w:rFonts w:cstheme="minorHAnsi"/>
                <w:bCs/>
                <w:szCs w:val="20"/>
              </w:rPr>
              <w:t xml:space="preserve">Mahdi Mohammad </w:t>
            </w:r>
            <w:proofErr w:type="spellStart"/>
            <w:r w:rsidR="00702FC8">
              <w:rPr>
                <w:rFonts w:cstheme="minorHAnsi"/>
                <w:bCs/>
                <w:szCs w:val="20"/>
              </w:rPr>
              <w:t>Mehrab</w:t>
            </w:r>
            <w:proofErr w:type="spellEnd"/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proofErr w:type="spellStart"/>
            <w:r w:rsidR="00DD04ED" w:rsidRPr="00EE4688">
              <w:rPr>
                <w:rFonts w:cstheme="minorHAnsi"/>
                <w:szCs w:val="20"/>
              </w:rPr>
              <w:t>Humaun</w:t>
            </w:r>
            <w:proofErr w:type="spellEnd"/>
            <w:r w:rsidR="00DD04ED" w:rsidRPr="00EE4688">
              <w:rPr>
                <w:rFonts w:cstheme="minorHAnsi"/>
                <w:szCs w:val="20"/>
              </w:rPr>
              <w:t xml:space="preserve">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294B0145" w:rsidR="00DD04ED" w:rsidRPr="00713E1A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713E1A">
              <w:rPr>
                <w:rFonts w:cstheme="minorHAnsi"/>
                <w:szCs w:val="20"/>
              </w:rPr>
              <w:t>19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61D174DE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3C4598">
              <w:rPr>
                <w:rFonts w:cstheme="minorHAnsi"/>
                <w:szCs w:val="20"/>
              </w:rPr>
              <w:t>Direct Expense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3D7C86CA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3C4598">
        <w:rPr>
          <w:rFonts w:cstheme="minorHAnsi"/>
        </w:rPr>
        <w:t>on Direct Expense</w:t>
      </w:r>
      <w:r w:rsidR="00713E1A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08991552" w14:textId="2A71708C" w:rsidR="00582D17" w:rsidRDefault="00DF085F" w:rsidP="00582D17">
      <w:pPr>
        <w:pStyle w:val="ListParagraph"/>
        <w:ind w:left="0"/>
        <w:jc w:val="both"/>
        <w:rPr>
          <w:rFonts w:cstheme="minorHAnsi"/>
          <w:szCs w:val="20"/>
        </w:rPr>
      </w:pPr>
      <w:r w:rsidRPr="00DF085F">
        <w:rPr>
          <w:rFonts w:cstheme="minorHAnsi"/>
          <w:szCs w:val="20"/>
        </w:rPr>
        <w:t>Cosmopolitan Industries (</w:t>
      </w:r>
      <w:proofErr w:type="spellStart"/>
      <w:r w:rsidRPr="00DF085F">
        <w:rPr>
          <w:rFonts w:cstheme="minorHAnsi"/>
          <w:szCs w:val="20"/>
        </w:rPr>
        <w:t>Pvt.</w:t>
      </w:r>
      <w:proofErr w:type="spellEnd"/>
      <w:r w:rsidRPr="00DF085F">
        <w:rPr>
          <w:rFonts w:cstheme="minorHAnsi"/>
          <w:szCs w:val="20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Rabindra </w:t>
      </w:r>
      <w:proofErr w:type="spellStart"/>
      <w:r w:rsidRPr="00DF085F">
        <w:rPr>
          <w:rFonts w:cstheme="minorHAnsi"/>
          <w:szCs w:val="20"/>
        </w:rPr>
        <w:t>Swarani</w:t>
      </w:r>
      <w:proofErr w:type="spellEnd"/>
      <w:r w:rsidRPr="00DF085F">
        <w:rPr>
          <w:rFonts w:cstheme="minorHAnsi"/>
          <w:szCs w:val="20"/>
        </w:rPr>
        <w:t>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20E4CB65" w14:textId="77777777" w:rsidR="003C4598" w:rsidRDefault="002B2D1E" w:rsidP="003C4598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obtai</w:t>
      </w:r>
      <w:r w:rsidR="003C4598">
        <w:rPr>
          <w:rFonts w:cstheme="minorHAnsi"/>
        </w:rPr>
        <w:t>n the population of Direct expense</w:t>
      </w:r>
      <w:r w:rsidRPr="00EE4688">
        <w:rPr>
          <w:rFonts w:cstheme="minorHAnsi"/>
        </w:rPr>
        <w:t xml:space="preserve"> ledger at the year-end and tie out the same </w:t>
      </w:r>
      <w:r w:rsidR="003C4598">
        <w:rPr>
          <w:rFonts w:cstheme="minorHAnsi"/>
        </w:rPr>
        <w:t xml:space="preserve">with financial </w:t>
      </w:r>
      <w:proofErr w:type="gramStart"/>
      <w:r w:rsidR="003C4598">
        <w:rPr>
          <w:rFonts w:cstheme="minorHAnsi"/>
        </w:rPr>
        <w:t>statement;</w:t>
      </w:r>
      <w:proofErr w:type="gramEnd"/>
    </w:p>
    <w:p w14:paraId="71A7A87C" w14:textId="1F4E9A3F" w:rsidR="002B2D1E" w:rsidRPr="003C4598" w:rsidRDefault="002B2D1E" w:rsidP="003C4598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3C4598">
        <w:rPr>
          <w:rFonts w:cstheme="minorHAnsi"/>
        </w:rPr>
        <w:t xml:space="preserve">To obtain </w:t>
      </w:r>
      <w:r w:rsidR="003C4598" w:rsidRPr="003C4598">
        <w:rPr>
          <w:rFonts w:cstheme="minorHAnsi"/>
        </w:rPr>
        <w:t>sample contracts,</w:t>
      </w:r>
      <w:r w:rsidR="003C4598" w:rsidRPr="003C4598">
        <w:t xml:space="preserve"> </w:t>
      </w:r>
      <w:r w:rsidR="003C4598" w:rsidRPr="003C4598">
        <w:rPr>
          <w:rFonts w:cstheme="minorHAnsi"/>
        </w:rPr>
        <w:t>workers recruitment and termination documents,</w:t>
      </w:r>
      <w:r w:rsidR="003C4598" w:rsidRPr="003C4598">
        <w:t xml:space="preserve"> </w:t>
      </w:r>
      <w:r w:rsidR="003C4598" w:rsidRPr="003C4598">
        <w:rPr>
          <w:rFonts w:cstheme="minorHAnsi"/>
        </w:rPr>
        <w:t xml:space="preserve">supporting's documents related to other direct </w:t>
      </w:r>
      <w:r w:rsidR="00515C57" w:rsidRPr="003C4598">
        <w:rPr>
          <w:rFonts w:cstheme="minorHAnsi"/>
        </w:rPr>
        <w:t>expenses.</w:t>
      </w:r>
    </w:p>
    <w:p w14:paraId="47F77F47" w14:textId="77777777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perform test of details from selected </w:t>
      </w:r>
      <w:proofErr w:type="gramStart"/>
      <w:r w:rsidRPr="00EE4688">
        <w:rPr>
          <w:rFonts w:cstheme="minorHAnsi"/>
        </w:rPr>
        <w:t>sample;</w:t>
      </w:r>
      <w:proofErr w:type="gramEnd"/>
    </w:p>
    <w:p w14:paraId="7CDAA5B9" w14:textId="3E3BBB12" w:rsidR="002B2D1E" w:rsidRPr="00EE4688" w:rsidRDefault="002B2D1E" w:rsidP="003C4598">
      <w:pPr>
        <w:pStyle w:val="ListParagraph"/>
        <w:ind w:left="360"/>
        <w:rPr>
          <w:rFonts w:cstheme="minorHAnsi"/>
        </w:rPr>
      </w:pPr>
      <w:r w:rsidRPr="00EE4688">
        <w:rPr>
          <w:rFonts w:cstheme="minorHAnsi"/>
        </w:rPr>
        <w:t>.</w:t>
      </w:r>
    </w:p>
    <w:p w14:paraId="23AAA531" w14:textId="77777777" w:rsidR="002B2D1E" w:rsidRPr="00EE4688" w:rsidRDefault="002B2D1E" w:rsidP="00DD04ED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2B760A56" w14:textId="0A39533D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3C4598">
        <w:rPr>
          <w:rFonts w:cstheme="minorHAnsi"/>
          <w:b/>
          <w:szCs w:val="20"/>
        </w:rPr>
        <w:t>Direct Expense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49613D7E" w:rsidR="00DD04ED" w:rsidRPr="00EE4688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3C4598">
        <w:rPr>
          <w:rFonts w:cstheme="minorHAnsi"/>
          <w:szCs w:val="20"/>
        </w:rPr>
        <w:t>Direct expense</w:t>
      </w:r>
      <w:r w:rsidR="00E865E2" w:rsidRPr="00EE4688">
        <w:rPr>
          <w:rFonts w:cstheme="minorHAnsi"/>
          <w:b/>
        </w:rPr>
        <w:t xml:space="preserve"> </w:t>
      </w:r>
      <w:r w:rsidRPr="00EE4688">
        <w:rPr>
          <w:rFonts w:cstheme="minorHAnsi"/>
        </w:rPr>
        <w:t xml:space="preserve">amount reflected at the accounts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following</w:t>
      </w:r>
      <w:r w:rsidR="004A666E" w:rsidRPr="00EE4688">
        <w:rPr>
          <w:rFonts w:cstheme="minorHAnsi"/>
        </w:rPr>
        <w:t xml:space="preserve"> material:</w:t>
      </w:r>
    </w:p>
    <w:p w14:paraId="74745951" w14:textId="77777777" w:rsidR="00092261" w:rsidRPr="00EE4688" w:rsidRDefault="00092261" w:rsidP="00DD04ED">
      <w:pPr>
        <w:pStyle w:val="ListParagraph"/>
        <w:ind w:left="0"/>
        <w:jc w:val="both"/>
        <w:rPr>
          <w:rFonts w:cstheme="minorHAnsi"/>
        </w:rPr>
      </w:pPr>
    </w:p>
    <w:tbl>
      <w:tblPr>
        <w:tblW w:w="5311" w:type="dxa"/>
        <w:tblInd w:w="108" w:type="dxa"/>
        <w:tblLook w:val="04A0" w:firstRow="1" w:lastRow="0" w:firstColumn="1" w:lastColumn="0" w:noHBand="0" w:noVBand="1"/>
      </w:tblPr>
      <w:tblGrid>
        <w:gridCol w:w="5311"/>
      </w:tblGrid>
      <w:tr w:rsidR="00515C57" w:rsidRPr="00515C57" w14:paraId="62DF78FE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92439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Wages</w:t>
            </w:r>
          </w:p>
        </w:tc>
      </w:tr>
      <w:tr w:rsidR="00515C57" w:rsidRPr="00515C57" w14:paraId="35640A24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A3C2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Attendance Bonus</w:t>
            </w:r>
          </w:p>
        </w:tc>
      </w:tr>
      <w:tr w:rsidR="00515C57" w:rsidRPr="00515C57" w14:paraId="618B1935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5D78D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Overtime</w:t>
            </w:r>
          </w:p>
        </w:tc>
      </w:tr>
      <w:tr w:rsidR="00515C57" w:rsidRPr="00515C57" w14:paraId="78D00ED7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2F00E" w14:textId="364CBE18" w:rsidR="00515C57" w:rsidRPr="00515C57" w:rsidRDefault="00713E1A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Local Conveyance</w:t>
            </w:r>
          </w:p>
        </w:tc>
      </w:tr>
      <w:tr w:rsidR="00515C57" w:rsidRPr="00515C57" w14:paraId="19251769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6526D" w14:textId="0547C7E3" w:rsidR="00515C57" w:rsidRPr="00515C57" w:rsidRDefault="00713E1A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Workers-Incentive </w:t>
            </w:r>
          </w:p>
        </w:tc>
      </w:tr>
      <w:tr w:rsidR="00515C57" w:rsidRPr="00515C57" w14:paraId="78998A13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DBA1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Canteen Expenses</w:t>
            </w:r>
          </w:p>
        </w:tc>
      </w:tr>
      <w:tr w:rsidR="00515C57" w:rsidRPr="00515C57" w14:paraId="493086BC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EBE5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 xml:space="preserve">PF </w:t>
            </w:r>
            <w:proofErr w:type="gramStart"/>
            <w:r w:rsidRPr="00515C57">
              <w:rPr>
                <w:rFonts w:ascii="Calibri" w:eastAsia="Times New Roman" w:hAnsi="Calibri" w:cs="Calibri"/>
                <w:lang w:val="en-US"/>
              </w:rPr>
              <w:t>Contribution  Com</w:t>
            </w:r>
            <w:proofErr w:type="gramEnd"/>
          </w:p>
        </w:tc>
      </w:tr>
      <w:tr w:rsidR="00515C57" w:rsidRPr="00515C57" w14:paraId="52B6A1F7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DAC44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Festival Bonus</w:t>
            </w:r>
          </w:p>
        </w:tc>
      </w:tr>
      <w:tr w:rsidR="00515C57" w:rsidRPr="00515C57" w14:paraId="49D932FE" w14:textId="77777777" w:rsidTr="00713E1A">
        <w:trPr>
          <w:trHeight w:val="360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064D6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Workers-Earn Leave</w:t>
            </w:r>
          </w:p>
        </w:tc>
      </w:tr>
      <w:tr w:rsidR="00515C57" w:rsidRPr="00515C57" w14:paraId="304DFC3B" w14:textId="77777777" w:rsidTr="00713E1A">
        <w:trPr>
          <w:trHeight w:val="180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1E87" w14:textId="6F98AEB4" w:rsidR="00515C57" w:rsidRPr="00713E1A" w:rsidRDefault="00713E1A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Workers-</w:t>
            </w:r>
            <w:r w:rsidRPr="00713E1A">
              <w:rPr>
                <w:rFonts w:ascii="Calibri" w:eastAsia="Times New Roman" w:hAnsi="Calibri" w:cs="Calibri"/>
                <w:lang w:val="en-US"/>
              </w:rPr>
              <w:t>Other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713E1A">
              <w:rPr>
                <w:rFonts w:ascii="Calibri" w:eastAsia="Times New Roman" w:hAnsi="Calibri" w:cs="Calibri"/>
                <w:lang w:val="en-US"/>
              </w:rPr>
              <w:t>Benefit</w:t>
            </w:r>
          </w:p>
        </w:tc>
      </w:tr>
      <w:tr w:rsidR="00515C57" w:rsidRPr="00515C57" w14:paraId="2ED8D45A" w14:textId="77777777" w:rsidTr="00713E1A">
        <w:trPr>
          <w:trHeight w:val="80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23F72" w14:textId="285D2150" w:rsidR="00515C57" w:rsidRPr="00713E1A" w:rsidRDefault="00515C57" w:rsidP="00713E1A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515C57" w:rsidRPr="00515C57" w14:paraId="647E33D8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55AA" w14:textId="1C75D5D3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 xml:space="preserve">Workers - Casual </w:t>
            </w:r>
            <w:r w:rsidR="00713E1A">
              <w:rPr>
                <w:rFonts w:ascii="Calibri" w:eastAsia="Times New Roman" w:hAnsi="Calibri" w:cs="Calibri"/>
                <w:lang w:val="en-US"/>
              </w:rPr>
              <w:t>Leave</w:t>
            </w:r>
          </w:p>
        </w:tc>
      </w:tr>
      <w:tr w:rsidR="00515C57" w:rsidRPr="00515C57" w14:paraId="5627AB18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E48C" w14:textId="77777777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Medical and Day care</w:t>
            </w:r>
          </w:p>
        </w:tc>
      </w:tr>
      <w:tr w:rsidR="00515C57" w:rsidRPr="00515C57" w14:paraId="67DE64EA" w14:textId="77777777" w:rsidTr="00713E1A">
        <w:trPr>
          <w:trHeight w:val="2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A88F" w14:textId="4F73324A" w:rsidR="00515C57" w:rsidRPr="00515C57" w:rsidRDefault="00515C57" w:rsidP="00713E1A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5C57">
              <w:rPr>
                <w:rFonts w:ascii="Calibri" w:eastAsia="Times New Roman" w:hAnsi="Calibri" w:cs="Calibri"/>
                <w:lang w:val="en-US"/>
              </w:rPr>
              <w:t>Job Work-Print</w:t>
            </w:r>
            <w:r w:rsidR="00713E1A"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515C57">
              <w:rPr>
                <w:rFonts w:ascii="Calibri" w:eastAsia="Times New Roman" w:hAnsi="Calibri" w:cs="Calibri"/>
                <w:lang w:val="en-US"/>
              </w:rPr>
              <w:t xml:space="preserve">&amp; </w:t>
            </w:r>
            <w:proofErr w:type="spellStart"/>
            <w:r w:rsidRPr="00515C57">
              <w:rPr>
                <w:rFonts w:ascii="Calibri" w:eastAsia="Times New Roman" w:hAnsi="Calibri" w:cs="Calibri"/>
                <w:lang w:val="en-US"/>
              </w:rPr>
              <w:t>Emb</w:t>
            </w:r>
            <w:proofErr w:type="spellEnd"/>
            <w:r w:rsidRPr="00515C5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</w:tr>
    </w:tbl>
    <w:p w14:paraId="6BAE9F58" w14:textId="270A0283" w:rsidR="00D37584" w:rsidRDefault="00D37584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460F32E2" w14:textId="77777777" w:rsidR="005255D9" w:rsidRPr="00EE4688" w:rsidRDefault="005255D9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lastRenderedPageBreak/>
        <w:t>Approach followed by the Engagement Team</w:t>
      </w:r>
    </w:p>
    <w:p w14:paraId="6BA2C84C" w14:textId="1E43D6FD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515C57">
        <w:rPr>
          <w:rFonts w:cstheme="minorHAnsi"/>
          <w:szCs w:val="20"/>
        </w:rPr>
        <w:t xml:space="preserve">Direct </w:t>
      </w:r>
      <w:r w:rsidR="003B6829">
        <w:rPr>
          <w:rFonts w:cstheme="minorHAnsi"/>
          <w:szCs w:val="20"/>
        </w:rPr>
        <w:t>expense</w:t>
      </w:r>
      <w:r w:rsidR="00F66BB3" w:rsidRPr="00EE4688">
        <w:rPr>
          <w:rFonts w:cstheme="minorHAnsi"/>
          <w:szCs w:val="20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362D5F0D" w:rsidR="00A61457" w:rsidRPr="00EE4688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4A666E" w:rsidRPr="00EE4688">
        <w:rPr>
          <w:rFonts w:cstheme="minorHAnsi"/>
          <w:szCs w:val="20"/>
        </w:rPr>
        <w:t>Export Sales</w:t>
      </w:r>
      <w:r w:rsidRPr="00EE4688">
        <w:rPr>
          <w:rFonts w:cstheme="minorHAnsi"/>
          <w:bCs/>
          <w:szCs w:val="20"/>
        </w:rPr>
        <w:t xml:space="preserve"> 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515C57">
        <w:rPr>
          <w:rFonts w:cstheme="minorHAnsi"/>
          <w:color w:val="4472C4" w:themeColor="accent1"/>
        </w:rPr>
        <w:t>DE</w:t>
      </w:r>
      <w:r w:rsidR="00EE4688">
        <w:rPr>
          <w:rFonts w:cstheme="minorHAnsi"/>
          <w:color w:val="4472C4" w:themeColor="accent1"/>
        </w:rPr>
        <w:t xml:space="preserve"> </w:t>
      </w:r>
      <w:proofErr w:type="gramStart"/>
      <w:r w:rsidR="00EE4688" w:rsidRPr="00831D1D">
        <w:rPr>
          <w:rFonts w:cstheme="minorHAnsi"/>
          <w:color w:val="4472C4" w:themeColor="accent1"/>
        </w:rPr>
        <w:t>0</w:t>
      </w:r>
      <w:r w:rsidR="00042044">
        <w:rPr>
          <w:rFonts w:cstheme="minorHAnsi"/>
          <w:color w:val="4472C4" w:themeColor="accent1"/>
        </w:rPr>
        <w:t>9</w:t>
      </w:r>
      <w:r w:rsidR="00EE4688" w:rsidRPr="00831D1D">
        <w:rPr>
          <w:rFonts w:cstheme="minorHAnsi"/>
          <w:color w:val="4472C4" w:themeColor="accent1"/>
        </w:rPr>
        <w:t>0;</w:t>
      </w:r>
      <w:proofErr w:type="gramEnd"/>
    </w:p>
    <w:p w14:paraId="0587A2F0" w14:textId="77777777" w:rsidR="00506209" w:rsidRPr="00EE4688" w:rsidRDefault="00506209" w:rsidP="0032293F">
      <w:pPr>
        <w:pStyle w:val="ListParagraph"/>
        <w:spacing w:line="276" w:lineRule="auto"/>
        <w:jc w:val="both"/>
        <w:rPr>
          <w:rFonts w:cstheme="minorHAnsi"/>
          <w:sz w:val="16"/>
          <w:highlight w:val="yellow"/>
        </w:rPr>
      </w:pPr>
    </w:p>
    <w:p w14:paraId="6477AA10" w14:textId="5C100A56" w:rsidR="00EE4688" w:rsidRPr="00BC47F4" w:rsidRDefault="004A666E" w:rsidP="00EE4688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>We have obtained</w:t>
      </w:r>
      <w:r w:rsidR="00515C57" w:rsidRPr="00515C57">
        <w:rPr>
          <w:rFonts w:cstheme="minorHAnsi"/>
        </w:rPr>
        <w:t xml:space="preserve"> </w:t>
      </w:r>
      <w:r w:rsidR="00515C57" w:rsidRPr="003C4598">
        <w:rPr>
          <w:rFonts w:cstheme="minorHAnsi"/>
        </w:rPr>
        <w:t>sample contracts,</w:t>
      </w:r>
      <w:r w:rsidR="00515C57" w:rsidRPr="003C4598">
        <w:t xml:space="preserve"> </w:t>
      </w:r>
      <w:r w:rsidR="00515C57" w:rsidRPr="003C4598">
        <w:rPr>
          <w:rFonts w:cstheme="minorHAnsi"/>
        </w:rPr>
        <w:t>workers recruitment and termination documents,</w:t>
      </w:r>
      <w:r w:rsidR="00515C57" w:rsidRPr="003C4598">
        <w:t xml:space="preserve"> </w:t>
      </w:r>
      <w:r w:rsidR="00515C57" w:rsidRPr="003C4598">
        <w:rPr>
          <w:rFonts w:cstheme="minorHAnsi"/>
        </w:rPr>
        <w:t>supporting's documents related to other direct expenses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515C57">
        <w:rPr>
          <w:rFonts w:cstheme="minorHAnsi"/>
          <w:color w:val="4472C4" w:themeColor="accent1"/>
        </w:rPr>
        <w:t xml:space="preserve">DE </w:t>
      </w:r>
      <w:proofErr w:type="gramStart"/>
      <w:r w:rsidR="00F81B4B">
        <w:rPr>
          <w:rFonts w:cstheme="minorHAnsi"/>
          <w:color w:val="4472C4" w:themeColor="accent1"/>
        </w:rPr>
        <w:t>220</w:t>
      </w:r>
      <w:r w:rsidR="00EE4688" w:rsidRPr="00831D1D">
        <w:rPr>
          <w:rFonts w:cstheme="minorHAnsi"/>
          <w:color w:val="4472C4" w:themeColor="accent1"/>
        </w:rPr>
        <w:t>;</w:t>
      </w:r>
      <w:proofErr w:type="gramEnd"/>
    </w:p>
    <w:p w14:paraId="4A1EF7D6" w14:textId="77777777" w:rsidR="00BC47F4" w:rsidRPr="00BC47F4" w:rsidRDefault="00BC47F4" w:rsidP="00BC47F4">
      <w:pPr>
        <w:pStyle w:val="ListParagraph"/>
        <w:rPr>
          <w:rFonts w:cstheme="minorHAnsi"/>
        </w:rPr>
      </w:pPr>
    </w:p>
    <w:p w14:paraId="360794F3" w14:textId="77777777" w:rsidR="00713E1A" w:rsidRDefault="00713E1A" w:rsidP="00713E1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From the above documents we have checked:</w:t>
      </w:r>
    </w:p>
    <w:p w14:paraId="5DC4197A" w14:textId="77777777" w:rsidR="00EE4688" w:rsidRPr="00713E1A" w:rsidRDefault="00EE4688" w:rsidP="00713E1A">
      <w:pPr>
        <w:rPr>
          <w:rFonts w:cstheme="minorHAnsi"/>
        </w:rPr>
      </w:pPr>
    </w:p>
    <w:p w14:paraId="06E84708" w14:textId="2D2873AB" w:rsidR="00AC3FE4" w:rsidRPr="00EE4688" w:rsidRDefault="00AC3FE4" w:rsidP="008652F4">
      <w:pPr>
        <w:pStyle w:val="ListParagraph"/>
        <w:jc w:val="both"/>
        <w:rPr>
          <w:rFonts w:cstheme="minorHAnsi"/>
          <w:highlight w:val="yellow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775E4E35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515C57">
        <w:rPr>
          <w:rFonts w:cstheme="minorHAnsi"/>
          <w:b/>
          <w:szCs w:val="20"/>
        </w:rPr>
        <w:t>Direct Expense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 xml:space="preserve">Financial </w:t>
      </w:r>
      <w:proofErr w:type="gramStart"/>
      <w:r w:rsidR="00AF4A35" w:rsidRPr="00EE4688">
        <w:rPr>
          <w:rFonts w:cstheme="minorHAnsi"/>
          <w:szCs w:val="20"/>
        </w:rPr>
        <w:t>Statement</w:t>
      </w:r>
      <w:proofErr w:type="gramEnd"/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7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1DD4" w14:textId="77777777" w:rsidR="000F2D59" w:rsidRDefault="000F2D59" w:rsidP="005B52CE">
      <w:pPr>
        <w:spacing w:after="0" w:line="240" w:lineRule="auto"/>
      </w:pPr>
      <w:r>
        <w:separator/>
      </w:r>
    </w:p>
  </w:endnote>
  <w:endnote w:type="continuationSeparator" w:id="0">
    <w:p w14:paraId="71EFA5E1" w14:textId="77777777" w:rsidR="000F2D59" w:rsidRDefault="000F2D59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5C09" w14:textId="77777777" w:rsidR="000F2D59" w:rsidRDefault="000F2D59" w:rsidP="005B52CE">
      <w:pPr>
        <w:spacing w:after="0" w:line="240" w:lineRule="auto"/>
      </w:pPr>
      <w:r>
        <w:separator/>
      </w:r>
    </w:p>
  </w:footnote>
  <w:footnote w:type="continuationSeparator" w:id="0">
    <w:p w14:paraId="5ACFF48E" w14:textId="77777777" w:rsidR="000F2D59" w:rsidRDefault="000F2D59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20A68171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3C4598">
      <w:rPr>
        <w:rFonts w:asciiTheme="minorHAnsi" w:hAnsiTheme="minorHAnsi" w:cstheme="minorHAnsi"/>
        <w:b w:val="0"/>
        <w:sz w:val="24"/>
        <w:szCs w:val="24"/>
      </w:rPr>
      <w:t>DE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DF085F">
      <w:rPr>
        <w:rFonts w:asciiTheme="minorHAnsi" w:hAnsiTheme="minorHAnsi" w:cstheme="minorHAnsi"/>
        <w:b w:val="0"/>
        <w:sz w:val="24"/>
        <w:szCs w:val="24"/>
      </w:rPr>
      <w:t>240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77EFD"/>
    <w:multiLevelType w:val="hybridMultilevel"/>
    <w:tmpl w:val="B58C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42044"/>
    <w:rsid w:val="00072194"/>
    <w:rsid w:val="00080BB2"/>
    <w:rsid w:val="00092261"/>
    <w:rsid w:val="000A1179"/>
    <w:rsid w:val="000A36C7"/>
    <w:rsid w:val="000B1660"/>
    <w:rsid w:val="000E267C"/>
    <w:rsid w:val="000F2D59"/>
    <w:rsid w:val="000F3AB5"/>
    <w:rsid w:val="00103033"/>
    <w:rsid w:val="00106DF3"/>
    <w:rsid w:val="0011260F"/>
    <w:rsid w:val="0013300E"/>
    <w:rsid w:val="001663CA"/>
    <w:rsid w:val="00166403"/>
    <w:rsid w:val="001727A1"/>
    <w:rsid w:val="00180FC4"/>
    <w:rsid w:val="00192252"/>
    <w:rsid w:val="00196DA1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A1AC7"/>
    <w:rsid w:val="002A45C4"/>
    <w:rsid w:val="002B2D1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742D"/>
    <w:rsid w:val="003424F3"/>
    <w:rsid w:val="0037135F"/>
    <w:rsid w:val="00380238"/>
    <w:rsid w:val="003B0227"/>
    <w:rsid w:val="003B1869"/>
    <w:rsid w:val="003B6829"/>
    <w:rsid w:val="003C0A5C"/>
    <w:rsid w:val="003C0C27"/>
    <w:rsid w:val="003C4598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4F76"/>
    <w:rsid w:val="004F50C7"/>
    <w:rsid w:val="00506209"/>
    <w:rsid w:val="00515C57"/>
    <w:rsid w:val="005255D9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65C26"/>
    <w:rsid w:val="00670728"/>
    <w:rsid w:val="00671911"/>
    <w:rsid w:val="00681F03"/>
    <w:rsid w:val="006A03A0"/>
    <w:rsid w:val="006A19AC"/>
    <w:rsid w:val="006A2004"/>
    <w:rsid w:val="006B33B4"/>
    <w:rsid w:val="006F0D7A"/>
    <w:rsid w:val="006F7DE0"/>
    <w:rsid w:val="00701F91"/>
    <w:rsid w:val="00702FC8"/>
    <w:rsid w:val="007062F5"/>
    <w:rsid w:val="00713E1A"/>
    <w:rsid w:val="00725F04"/>
    <w:rsid w:val="00744184"/>
    <w:rsid w:val="00751CAD"/>
    <w:rsid w:val="0076150C"/>
    <w:rsid w:val="007667C8"/>
    <w:rsid w:val="00794D02"/>
    <w:rsid w:val="007A79AA"/>
    <w:rsid w:val="007B3AB0"/>
    <w:rsid w:val="007B504F"/>
    <w:rsid w:val="007D10A4"/>
    <w:rsid w:val="007E4E1D"/>
    <w:rsid w:val="00801E7E"/>
    <w:rsid w:val="00802857"/>
    <w:rsid w:val="00831D1D"/>
    <w:rsid w:val="008652F4"/>
    <w:rsid w:val="00866407"/>
    <w:rsid w:val="0088382C"/>
    <w:rsid w:val="008C4EF4"/>
    <w:rsid w:val="008E39D4"/>
    <w:rsid w:val="00916C51"/>
    <w:rsid w:val="009406DC"/>
    <w:rsid w:val="00967EDA"/>
    <w:rsid w:val="00977374"/>
    <w:rsid w:val="0098547D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37584"/>
    <w:rsid w:val="00D52327"/>
    <w:rsid w:val="00D72DD1"/>
    <w:rsid w:val="00D86455"/>
    <w:rsid w:val="00D867FB"/>
    <w:rsid w:val="00DB2B23"/>
    <w:rsid w:val="00DD04ED"/>
    <w:rsid w:val="00DF085F"/>
    <w:rsid w:val="00E15852"/>
    <w:rsid w:val="00E468EA"/>
    <w:rsid w:val="00E51081"/>
    <w:rsid w:val="00E81A78"/>
    <w:rsid w:val="00E865E2"/>
    <w:rsid w:val="00EA7808"/>
    <w:rsid w:val="00EB1578"/>
    <w:rsid w:val="00ED57CF"/>
    <w:rsid w:val="00EE4688"/>
    <w:rsid w:val="00F064CE"/>
    <w:rsid w:val="00F413ED"/>
    <w:rsid w:val="00F43DBB"/>
    <w:rsid w:val="00F543D5"/>
    <w:rsid w:val="00F65A52"/>
    <w:rsid w:val="00F66BB3"/>
    <w:rsid w:val="00F81B4B"/>
    <w:rsid w:val="00FA1473"/>
    <w:rsid w:val="00FB0235"/>
    <w:rsid w:val="00FC26FC"/>
    <w:rsid w:val="00FC5560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E6912"/>
  <w15:docId w15:val="{E6930591-5BE0-4F43-BD40-291B7049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1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A9E70-FC55-4AE9-9B59-2B1C644D67E6}"/>
</file>

<file path=customXml/itemProps2.xml><?xml version="1.0" encoding="utf-8"?>
<ds:datastoreItem xmlns:ds="http://schemas.openxmlformats.org/officeDocument/2006/customXml" ds:itemID="{7DC2B32C-E3B1-46AA-A64D-81BB921B62EE}"/>
</file>

<file path=customXml/itemProps3.xml><?xml version="1.0" encoding="utf-8"?>
<ds:datastoreItem xmlns:ds="http://schemas.openxmlformats.org/officeDocument/2006/customXml" ds:itemID="{9EA850ED-D1ED-44CF-91DB-698F1AA632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10</cp:revision>
  <dcterms:created xsi:type="dcterms:W3CDTF">2021-08-27T09:43:00Z</dcterms:created>
  <dcterms:modified xsi:type="dcterms:W3CDTF">2021-09-05T12:35:00Z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