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EE4688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7FB8C894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646730">
              <w:rPr>
                <w:rFonts w:cstheme="minorHAnsi"/>
                <w:bCs/>
                <w:szCs w:val="20"/>
              </w:rPr>
              <w:t>Cosmopolitan Industries Pvt.</w:t>
            </w:r>
            <w:r w:rsidR="00671911" w:rsidRPr="00EE4688">
              <w:rPr>
                <w:rFonts w:cstheme="minorHAnsi"/>
                <w:szCs w:val="20"/>
              </w:rPr>
              <w:t xml:space="preserve"> Ltd</w:t>
            </w:r>
          </w:p>
        </w:tc>
      </w:tr>
      <w:tr w:rsidR="00DD04ED" w:rsidRPr="00EE4688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20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8E39D4" w:rsidRPr="00EE4688">
              <w:rPr>
                <w:rFonts w:cstheme="minorHAnsi"/>
                <w:szCs w:val="20"/>
              </w:rPr>
              <w:t>1</w:t>
            </w:r>
          </w:p>
        </w:tc>
      </w:tr>
      <w:tr w:rsidR="00DD04ED" w:rsidRPr="00EE4688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27C3CC3E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646730">
              <w:rPr>
                <w:rFonts w:cstheme="minorHAnsi"/>
                <w:szCs w:val="20"/>
              </w:rPr>
              <w:t xml:space="preserve">Syed Muhammad Ali </w:t>
            </w:r>
            <w:r w:rsidR="00671911" w:rsidRPr="00EE4688">
              <w:rPr>
                <w:rFonts w:cstheme="minorHAnsi"/>
                <w:szCs w:val="20"/>
              </w:rPr>
              <w:t xml:space="preserve"> </w:t>
            </w:r>
          </w:p>
          <w:p w14:paraId="5427C96E" w14:textId="2D076481" w:rsidR="00B400A6" w:rsidRPr="00646730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646730">
              <w:rPr>
                <w:rFonts w:cstheme="minorHAnsi"/>
                <w:bCs/>
                <w:szCs w:val="20"/>
              </w:rPr>
              <w:t>Mahdi Mohammad Mehrab</w:t>
            </w:r>
          </w:p>
        </w:tc>
        <w:tc>
          <w:tcPr>
            <w:tcW w:w="1692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314E6001" w14:textId="6FE0CA7F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671911" w:rsidRPr="00EE4688">
              <w:rPr>
                <w:rFonts w:cstheme="minorHAnsi"/>
                <w:bCs/>
                <w:szCs w:val="20"/>
              </w:rPr>
              <w:t>August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2021</w:t>
            </w:r>
          </w:p>
          <w:p w14:paraId="379D8CF5" w14:textId="4611A114" w:rsidR="00C94E93" w:rsidRPr="00EE4688" w:rsidRDefault="00C94E93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DD04ED" w:rsidRPr="00EE4688">
              <w:rPr>
                <w:rFonts w:cstheme="minorHAnsi"/>
                <w:szCs w:val="20"/>
              </w:rPr>
              <w:t>Humaun Ahamed</w:t>
            </w:r>
          </w:p>
        </w:tc>
        <w:tc>
          <w:tcPr>
            <w:tcW w:w="1692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152196F5" w14:textId="5CD0ABB8" w:rsidR="00DD04ED" w:rsidRPr="00D90ADC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D90ADC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3957358D" w:rsidR="00DD04ED" w:rsidRPr="00EE4688" w:rsidRDefault="00DD04ED" w:rsidP="00D72DD1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>of test of details on</w:t>
            </w:r>
            <w:r w:rsidR="0021562C" w:rsidRPr="00EE4688">
              <w:rPr>
                <w:rFonts w:cstheme="minorHAnsi"/>
                <w:bCs/>
                <w:szCs w:val="20"/>
              </w:rPr>
              <w:t xml:space="preserve"> </w:t>
            </w:r>
            <w:r w:rsidR="00C557C5">
              <w:rPr>
                <w:rFonts w:cstheme="minorHAnsi"/>
                <w:szCs w:val="20"/>
              </w:rPr>
              <w:t>Factory Overhead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022E56F7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 xml:space="preserve">Memo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483BA6" w:rsidRPr="00EE4688">
        <w:rPr>
          <w:rFonts w:cstheme="minorHAnsi"/>
        </w:rPr>
        <w:t xml:space="preserve">on </w:t>
      </w:r>
      <w:r w:rsidR="00CF4060">
        <w:rPr>
          <w:rFonts w:cstheme="minorHAnsi"/>
        </w:rPr>
        <w:t>Factory Overhead</w:t>
      </w:r>
      <w:r w:rsidR="00D92C83">
        <w:rPr>
          <w:rFonts w:cstheme="minorHAnsi"/>
        </w:rPr>
        <w:t>.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5E096708" w14:textId="77777777" w:rsidR="005675A5" w:rsidRDefault="005675A5" w:rsidP="005675A5">
      <w:pPr>
        <w:pStyle w:val="ListParagraph"/>
        <w:ind w:left="0"/>
        <w:jc w:val="both"/>
        <w:rPr>
          <w:rFonts w:cstheme="minorHAnsi"/>
          <w:highlight w:val="yellow"/>
        </w:rPr>
      </w:pPr>
      <w:r>
        <w:rPr>
          <w:rFonts w:cstheme="minorHAnsi"/>
          <w:szCs w:val="20"/>
        </w:rPr>
        <w:t>Cosmopolitan Industries (Pvt.) Limited (here-in-after referred to as the "Company" or "(CIPL") was incorporated in Dhaka, Bangladesh on 26 June 2005 as a private limited company under the Companies Act, 1994. The registered office of the Company is situated at House # 17, Road # 15, Sector # 03, Rabindra Swarani, Uttara, Dhaka. The Company is a subsidiary of Epic Designers Ltd., Hong Kong.</w:t>
      </w:r>
    </w:p>
    <w:p w14:paraId="593E5F69" w14:textId="77777777" w:rsidR="00BC47F4" w:rsidRPr="00EE4688" w:rsidRDefault="00BC47F4" w:rsidP="00582D17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46B6C29D" w14:textId="49EC5EDE" w:rsidR="00AD61F6" w:rsidRPr="00EE4688" w:rsidRDefault="00DD04ED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coverage</w:t>
      </w:r>
    </w:p>
    <w:p w14:paraId="7FC63336" w14:textId="1E88ECD4" w:rsidR="002B2D1E" w:rsidRPr="00EE4688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the population of </w:t>
      </w:r>
      <w:r w:rsidR="00C557C5">
        <w:rPr>
          <w:rFonts w:cstheme="minorHAnsi"/>
        </w:rPr>
        <w:t>Factory Overhead</w:t>
      </w:r>
      <w:r w:rsidR="001E7785">
        <w:rPr>
          <w:rFonts w:cstheme="minorHAnsi"/>
        </w:rPr>
        <w:t xml:space="preserve"> </w:t>
      </w:r>
      <w:r w:rsidRPr="00EE4688">
        <w:rPr>
          <w:rFonts w:cstheme="minorHAnsi"/>
        </w:rPr>
        <w:t xml:space="preserve">ledger at the year-end and tie out the same with financial statement; </w:t>
      </w:r>
    </w:p>
    <w:p w14:paraId="71A7A87C" w14:textId="38E04D43" w:rsidR="002B2D1E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</w:t>
      </w:r>
      <w:r w:rsidR="00D92C83" w:rsidRPr="00D92C83">
        <w:rPr>
          <w:rFonts w:cstheme="minorHAnsi"/>
        </w:rPr>
        <w:t xml:space="preserve">sales contract and other supporting documents relevant to that </w:t>
      </w:r>
      <w:r w:rsidR="00F833DA">
        <w:rPr>
          <w:rFonts w:cstheme="minorHAnsi"/>
        </w:rPr>
        <w:t xml:space="preserve">of </w:t>
      </w:r>
      <w:r w:rsidR="001E7785">
        <w:rPr>
          <w:rFonts w:cstheme="minorHAnsi"/>
        </w:rPr>
        <w:t>the factory overhead expense</w:t>
      </w:r>
      <w:r w:rsidRPr="00EE4688">
        <w:rPr>
          <w:rFonts w:cstheme="minorHAnsi"/>
        </w:rPr>
        <w:t>;</w:t>
      </w:r>
    </w:p>
    <w:p w14:paraId="46370648" w14:textId="32BA7405" w:rsidR="00D92C83" w:rsidRDefault="00D92C83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>
        <w:rPr>
          <w:rFonts w:cstheme="minorHAnsi"/>
        </w:rPr>
        <w:t>To o</w:t>
      </w:r>
      <w:r w:rsidRPr="00D92C83">
        <w:rPr>
          <w:rFonts w:cstheme="minorHAnsi"/>
        </w:rPr>
        <w:t xml:space="preserve">btain Bank statement and check </w:t>
      </w:r>
      <w:r>
        <w:rPr>
          <w:rFonts w:cstheme="minorHAnsi"/>
        </w:rPr>
        <w:t xml:space="preserve">whether </w:t>
      </w:r>
      <w:r w:rsidRPr="00D92C83">
        <w:rPr>
          <w:rFonts w:cstheme="minorHAnsi"/>
        </w:rPr>
        <w:t xml:space="preserve">the </w:t>
      </w:r>
      <w:r w:rsidR="001E7785">
        <w:rPr>
          <w:rFonts w:cstheme="minorHAnsi"/>
        </w:rPr>
        <w:t>expense has actually occurred and whether it was material</w:t>
      </w:r>
      <w:r>
        <w:rPr>
          <w:rFonts w:cstheme="minorHAnsi"/>
        </w:rPr>
        <w:t>;</w:t>
      </w:r>
    </w:p>
    <w:p w14:paraId="23AAA531" w14:textId="7AFA6209" w:rsidR="002B2D1E" w:rsidRDefault="002B2D1E" w:rsidP="00D92C83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perform test of details from selected sample</w:t>
      </w:r>
      <w:r w:rsidR="00D92C83">
        <w:rPr>
          <w:rFonts w:cstheme="minorHAnsi"/>
        </w:rPr>
        <w:t>.</w:t>
      </w:r>
    </w:p>
    <w:p w14:paraId="728FDA98" w14:textId="77777777" w:rsidR="00D92C83" w:rsidRPr="00D92C83" w:rsidRDefault="00D92C83" w:rsidP="00D92C83">
      <w:pPr>
        <w:pStyle w:val="ListParagraph"/>
        <w:ind w:left="360"/>
        <w:rPr>
          <w:rFonts w:cstheme="minorHAnsi"/>
        </w:rPr>
      </w:pPr>
    </w:p>
    <w:p w14:paraId="2B760A56" w14:textId="0E303644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About</w:t>
      </w:r>
      <w:r w:rsidR="00E865E2" w:rsidRPr="00EE4688">
        <w:rPr>
          <w:rFonts w:cstheme="minorHAnsi"/>
          <w:b/>
        </w:rPr>
        <w:t xml:space="preserve"> </w:t>
      </w:r>
      <w:r w:rsidR="001E7785">
        <w:rPr>
          <w:rFonts w:cstheme="minorHAnsi"/>
          <w:b/>
          <w:szCs w:val="20"/>
        </w:rPr>
        <w:t>Factory Overhead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7EAD2FA3" w14:textId="08B21FAF" w:rsidR="00DD04ED" w:rsidRPr="00EE4688" w:rsidRDefault="00DD04ED" w:rsidP="00DD04ED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1E7785">
        <w:rPr>
          <w:rFonts w:cstheme="minorHAnsi"/>
          <w:szCs w:val="20"/>
        </w:rPr>
        <w:t>Factory Overhead</w:t>
      </w:r>
      <w:r w:rsidR="00654500">
        <w:rPr>
          <w:rFonts w:cstheme="minorHAnsi"/>
          <w:szCs w:val="20"/>
        </w:rPr>
        <w:t xml:space="preserve"> </w:t>
      </w:r>
      <w:r w:rsidRPr="00EE4688">
        <w:rPr>
          <w:rFonts w:cstheme="minorHAnsi"/>
        </w:rPr>
        <w:t xml:space="preserve">amount </w:t>
      </w:r>
      <w:r w:rsidR="002E4BCA" w:rsidRPr="00EE4688">
        <w:rPr>
          <w:rFonts w:cstheme="minorHAnsi"/>
        </w:rPr>
        <w:t>consists</w:t>
      </w:r>
      <w:r w:rsidRPr="00EE4688">
        <w:rPr>
          <w:rFonts w:cstheme="minorHAnsi"/>
        </w:rPr>
        <w:t xml:space="preserve"> of </w:t>
      </w:r>
      <w:r w:rsidR="00D92C83">
        <w:rPr>
          <w:rFonts w:cstheme="minorHAnsi"/>
        </w:rPr>
        <w:t xml:space="preserve">the </w:t>
      </w:r>
      <w:r w:rsidR="00F833DA">
        <w:rPr>
          <w:rFonts w:cstheme="minorHAnsi"/>
        </w:rPr>
        <w:t xml:space="preserve">amount that </w:t>
      </w:r>
      <w:r w:rsidR="001E7785">
        <w:rPr>
          <w:rFonts w:cstheme="minorHAnsi"/>
        </w:rPr>
        <w:t>EPIC incurred during its accounting period for the overall operation of their factories situated at different location throughout the country.</w:t>
      </w:r>
    </w:p>
    <w:p w14:paraId="74745951" w14:textId="77777777" w:rsidR="00092261" w:rsidRPr="00EE4688" w:rsidRDefault="00092261" w:rsidP="00DD04ED">
      <w:pPr>
        <w:pStyle w:val="ListParagraph"/>
        <w:ind w:left="0"/>
        <w:jc w:val="both"/>
        <w:rPr>
          <w:rFonts w:cstheme="minorHAnsi"/>
        </w:rPr>
      </w:pPr>
    </w:p>
    <w:p w14:paraId="1B02E09C" w14:textId="0C003DBF" w:rsidR="00DD04ED" w:rsidRPr="00EE4688" w:rsidRDefault="00DD04ED" w:rsidP="00DD04ED">
      <w:pPr>
        <w:jc w:val="both"/>
        <w:rPr>
          <w:rFonts w:cstheme="minorHAnsi"/>
        </w:rPr>
      </w:pPr>
      <w:r w:rsidRPr="00EE4688">
        <w:rPr>
          <w:rFonts w:cstheme="minorHAnsi"/>
          <w:b/>
        </w:rPr>
        <w:t>Approach followed by the Engagement Team</w:t>
      </w:r>
    </w:p>
    <w:p w14:paraId="6BA2C84C" w14:textId="516518F7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654500">
        <w:rPr>
          <w:rFonts w:cstheme="minorHAnsi"/>
        </w:rPr>
        <w:t>Export Revenue</w:t>
      </w:r>
      <w:r w:rsidR="004D1034">
        <w:rPr>
          <w:rFonts w:cstheme="minorHAnsi"/>
        </w:rPr>
        <w:t xml:space="preserve"> </w:t>
      </w:r>
      <w:r w:rsidR="003259BB" w:rsidRPr="00EE4688">
        <w:rPr>
          <w:rFonts w:cstheme="minorHAnsi"/>
        </w:rPr>
        <w:t>balances:</w:t>
      </w:r>
    </w:p>
    <w:p w14:paraId="332F76B2" w14:textId="154980BC" w:rsidR="00A61457" w:rsidRPr="008175A9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obtained </w:t>
      </w:r>
      <w:r w:rsidR="00C557C5">
        <w:rPr>
          <w:rFonts w:cstheme="minorHAnsi"/>
          <w:szCs w:val="20"/>
        </w:rPr>
        <w:t>Factory Overhead</w:t>
      </w:r>
      <w:r w:rsidR="00862DF5">
        <w:rPr>
          <w:rFonts w:cstheme="minorHAnsi"/>
          <w:szCs w:val="20"/>
        </w:rPr>
        <w:t xml:space="preserve"> </w:t>
      </w:r>
      <w:r w:rsidRPr="00EE4688">
        <w:rPr>
          <w:rFonts w:cstheme="minorHAnsi"/>
          <w:bCs/>
          <w:szCs w:val="20"/>
        </w:rPr>
        <w:t xml:space="preserve">balances from </w:t>
      </w:r>
      <w:r w:rsidRPr="00EE4688">
        <w:rPr>
          <w:rFonts w:cstheme="minorHAnsi"/>
        </w:rPr>
        <w:t>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of current period and tie</w:t>
      </w:r>
      <w:r w:rsidR="0058677F" w:rsidRPr="00EE4688">
        <w:rPr>
          <w:rFonts w:cstheme="minorHAnsi"/>
        </w:rPr>
        <w:t>d</w:t>
      </w:r>
      <w:r w:rsidRPr="00EE4688">
        <w:rPr>
          <w:rFonts w:cstheme="minorHAnsi"/>
        </w:rPr>
        <w:t xml:space="preserve"> out the balance with trial balance as well as general ledger balance</w:t>
      </w:r>
      <w:r w:rsidR="007667C8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In addition, </w:t>
      </w:r>
      <w:r w:rsidR="0058677F" w:rsidRPr="00EE4688">
        <w:rPr>
          <w:rFonts w:cstheme="minorHAnsi"/>
        </w:rPr>
        <w:t xml:space="preserve">we have </w:t>
      </w:r>
      <w:r w:rsidRPr="00EE4688">
        <w:rPr>
          <w:rFonts w:cstheme="minorHAnsi"/>
        </w:rPr>
        <w:t>c</w:t>
      </w:r>
      <w:r w:rsidR="00665C26" w:rsidRPr="00EE4688">
        <w:rPr>
          <w:rFonts w:cstheme="minorHAnsi"/>
        </w:rPr>
        <w:t>hecked whether adequate disclosu</w:t>
      </w:r>
      <w:r w:rsidRPr="00EE4688">
        <w:rPr>
          <w:rFonts w:cstheme="minorHAnsi"/>
        </w:rPr>
        <w:t>r</w:t>
      </w:r>
      <w:r w:rsidR="00665C26" w:rsidRPr="00EE4688">
        <w:rPr>
          <w:rFonts w:cstheme="minorHAnsi"/>
        </w:rPr>
        <w:t>es</w:t>
      </w:r>
      <w:r w:rsidRPr="00EE4688">
        <w:rPr>
          <w:rFonts w:cstheme="minorHAnsi"/>
        </w:rPr>
        <w:t xml:space="preserve"> </w:t>
      </w:r>
      <w:r w:rsidR="00665C26" w:rsidRPr="00EE4688">
        <w:rPr>
          <w:rFonts w:cstheme="minorHAnsi"/>
        </w:rPr>
        <w:t xml:space="preserve">are </w:t>
      </w:r>
      <w:r w:rsidRPr="00EE4688">
        <w:rPr>
          <w:rFonts w:cstheme="minorHAnsi"/>
        </w:rPr>
        <w:t>given for the amount on 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 xml:space="preserve">Work ref: </w:t>
      </w:r>
      <w:r w:rsidR="00D90ADC">
        <w:rPr>
          <w:rFonts w:cstheme="minorHAnsi"/>
          <w:color w:val="4472C4" w:themeColor="accent1"/>
        </w:rPr>
        <w:t>FO</w:t>
      </w:r>
      <w:r w:rsidR="00EE4688">
        <w:rPr>
          <w:rFonts w:cstheme="minorHAnsi"/>
          <w:color w:val="4472C4" w:themeColor="accent1"/>
        </w:rPr>
        <w:t xml:space="preserve"> </w:t>
      </w:r>
      <w:r w:rsidR="00D90ADC">
        <w:rPr>
          <w:rFonts w:cstheme="minorHAnsi"/>
          <w:color w:val="4472C4" w:themeColor="accent1"/>
        </w:rPr>
        <w:t>09</w:t>
      </w:r>
      <w:r w:rsidR="00EE4688" w:rsidRPr="00831D1D">
        <w:rPr>
          <w:rFonts w:cstheme="minorHAnsi"/>
          <w:color w:val="4472C4" w:themeColor="accent1"/>
        </w:rPr>
        <w:t>0;</w:t>
      </w:r>
    </w:p>
    <w:p w14:paraId="61BDDD3A" w14:textId="77777777" w:rsidR="008175A9" w:rsidRPr="008175A9" w:rsidRDefault="008175A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587A2F0" w14:textId="77777777" w:rsidR="00506209" w:rsidRPr="008175A9" w:rsidRDefault="0050620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6E84708" w14:textId="3FCE3F1D" w:rsidR="00AC3FE4" w:rsidRPr="00333681" w:rsidRDefault="004A666E" w:rsidP="008175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</w:t>
      </w:r>
      <w:r w:rsidR="00D92C83" w:rsidRPr="00D92C83">
        <w:rPr>
          <w:rFonts w:cstheme="minorHAnsi"/>
        </w:rPr>
        <w:t xml:space="preserve">sales contract and other supporting documents relevant to that </w:t>
      </w:r>
      <w:r w:rsidR="00862DF5">
        <w:rPr>
          <w:rFonts w:cstheme="minorHAnsi"/>
        </w:rPr>
        <w:t>of the expense</w:t>
      </w:r>
      <w:r w:rsidR="0088382C" w:rsidRPr="00EE4688">
        <w:rPr>
          <w:rFonts w:cstheme="minorHAnsi"/>
        </w:rPr>
        <w:t>, related bank statement</w:t>
      </w:r>
      <w:r w:rsidRPr="00EE4688">
        <w:rPr>
          <w:rFonts w:cstheme="minorHAnsi"/>
        </w:rPr>
        <w:t xml:space="preserve"> </w:t>
      </w:r>
      <w:r w:rsidR="00310787" w:rsidRPr="00EE4688">
        <w:rPr>
          <w:rFonts w:cstheme="minorHAnsi"/>
        </w:rPr>
        <w:t>and perform</w:t>
      </w:r>
      <w:r w:rsidR="00E468EA" w:rsidRPr="00EE4688">
        <w:rPr>
          <w:rFonts w:cstheme="minorHAnsi"/>
        </w:rPr>
        <w:t>ed</w:t>
      </w:r>
      <w:r w:rsidR="00310787" w:rsidRPr="00EE4688">
        <w:rPr>
          <w:rFonts w:cstheme="minorHAnsi"/>
        </w:rPr>
        <w:t xml:space="preserve"> Test of details</w:t>
      </w:r>
      <w:r w:rsidR="00E468EA"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>Work ref:</w:t>
      </w:r>
      <w:r w:rsidR="00EE4688" w:rsidRPr="00831D1D">
        <w:rPr>
          <w:rFonts w:cstheme="minorHAnsi"/>
          <w:color w:val="4472C4" w:themeColor="accent1"/>
        </w:rPr>
        <w:t xml:space="preserve"> </w:t>
      </w:r>
      <w:r w:rsidR="00D90ADC">
        <w:rPr>
          <w:rFonts w:cstheme="minorHAnsi"/>
          <w:color w:val="4472C4" w:themeColor="accent1"/>
        </w:rPr>
        <w:t>FO</w:t>
      </w:r>
      <w:r w:rsidR="008175A9">
        <w:rPr>
          <w:rFonts w:cstheme="minorHAnsi"/>
          <w:color w:val="4472C4" w:themeColor="accent1"/>
        </w:rPr>
        <w:t xml:space="preserve"> </w:t>
      </w:r>
      <w:r w:rsidR="00D90ADC">
        <w:rPr>
          <w:rFonts w:cstheme="minorHAnsi"/>
          <w:color w:val="4472C4" w:themeColor="accent1"/>
        </w:rPr>
        <w:t>2</w:t>
      </w:r>
      <w:r w:rsidR="008175A9">
        <w:rPr>
          <w:rFonts w:cstheme="minorHAnsi"/>
          <w:color w:val="4472C4" w:themeColor="accent1"/>
        </w:rPr>
        <w:t>5</w:t>
      </w:r>
      <w:r w:rsidR="00EE4688">
        <w:rPr>
          <w:rFonts w:cstheme="minorHAnsi"/>
          <w:color w:val="4472C4" w:themeColor="accent1"/>
        </w:rPr>
        <w:t>0</w:t>
      </w:r>
      <w:r w:rsidR="00EE4688" w:rsidRPr="00831D1D">
        <w:rPr>
          <w:rFonts w:cstheme="minorHAnsi"/>
          <w:color w:val="4472C4" w:themeColor="accent1"/>
        </w:rPr>
        <w:t>;</w:t>
      </w:r>
    </w:p>
    <w:p w14:paraId="08BC4244" w14:textId="26921D25" w:rsidR="00333681" w:rsidRDefault="00333681" w:rsidP="00333681">
      <w:pPr>
        <w:pStyle w:val="ListParagraph"/>
        <w:spacing w:line="276" w:lineRule="auto"/>
        <w:jc w:val="both"/>
        <w:rPr>
          <w:rFonts w:cstheme="minorHAnsi"/>
        </w:rPr>
      </w:pPr>
    </w:p>
    <w:p w14:paraId="4E74EDFB" w14:textId="77777777" w:rsidR="0045353E" w:rsidRPr="008175A9" w:rsidRDefault="0045353E" w:rsidP="00333681">
      <w:pPr>
        <w:pStyle w:val="ListParagraph"/>
        <w:spacing w:line="276" w:lineRule="auto"/>
        <w:jc w:val="both"/>
        <w:rPr>
          <w:rFonts w:cstheme="minorHAnsi"/>
        </w:rPr>
      </w:pPr>
    </w:p>
    <w:p w14:paraId="668014AC" w14:textId="27B1AA06" w:rsidR="00DD04ED" w:rsidRPr="00EE4688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lastRenderedPageBreak/>
        <w:t>Conclusion:</w:t>
      </w:r>
    </w:p>
    <w:p w14:paraId="65D47235" w14:textId="77777777" w:rsidR="0076150C" w:rsidRPr="00EE4688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5ED0EC3D" w:rsidR="006A19AC" w:rsidRPr="00EE4688" w:rsidRDefault="00DD04ED" w:rsidP="006A19AC">
      <w:pPr>
        <w:spacing w:after="0"/>
        <w:jc w:val="both"/>
        <w:rPr>
          <w:rFonts w:cstheme="minorHAnsi"/>
          <w:szCs w:val="20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balances of</w:t>
      </w:r>
      <w:r w:rsidR="002A1AC7" w:rsidRPr="00EE4688">
        <w:rPr>
          <w:rFonts w:cstheme="minorHAnsi"/>
          <w:szCs w:val="20"/>
        </w:rPr>
        <w:t xml:space="preserve"> </w:t>
      </w:r>
      <w:r w:rsidR="00A01147">
        <w:rPr>
          <w:rFonts w:cstheme="minorHAnsi"/>
          <w:b/>
          <w:szCs w:val="20"/>
        </w:rPr>
        <w:t>Factory</w:t>
      </w:r>
      <w:r w:rsidR="0045353E">
        <w:rPr>
          <w:rFonts w:cstheme="minorHAnsi"/>
          <w:b/>
          <w:szCs w:val="20"/>
        </w:rPr>
        <w:t xml:space="preserve"> </w:t>
      </w:r>
      <w:r w:rsidR="00A01147">
        <w:rPr>
          <w:rFonts w:cstheme="minorHAnsi"/>
          <w:b/>
          <w:szCs w:val="20"/>
        </w:rPr>
        <w:t>Overhead</w:t>
      </w:r>
      <w:r w:rsidRPr="00EE4688">
        <w:rPr>
          <w:rFonts w:cstheme="minorHAnsi"/>
          <w:b/>
          <w:szCs w:val="20"/>
        </w:rPr>
        <w:t xml:space="preserve">, </w:t>
      </w:r>
      <w:r w:rsidRPr="00EE4688">
        <w:rPr>
          <w:rFonts w:cstheme="minorHAnsi"/>
          <w:szCs w:val="20"/>
        </w:rPr>
        <w:t xml:space="preserve">shown on </w:t>
      </w:r>
      <w:r w:rsidR="00AF4A35" w:rsidRPr="00EE4688">
        <w:rPr>
          <w:rFonts w:cstheme="minorHAnsi"/>
          <w:szCs w:val="20"/>
        </w:rPr>
        <w:t>Financial Statement</w:t>
      </w:r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p w14:paraId="29BC2FBF" w14:textId="405A135A" w:rsidR="00DD04ED" w:rsidRPr="00EE4688" w:rsidRDefault="00DD04ED" w:rsidP="00CD175E">
      <w:pPr>
        <w:spacing w:after="0"/>
        <w:jc w:val="both"/>
        <w:rPr>
          <w:rFonts w:cstheme="minorHAnsi"/>
          <w:szCs w:val="20"/>
        </w:rPr>
      </w:pPr>
    </w:p>
    <w:p w14:paraId="2EE2F87B" w14:textId="77777777" w:rsidR="00B13905" w:rsidRPr="00EE4688" w:rsidRDefault="00B13905" w:rsidP="00DD04ED">
      <w:pPr>
        <w:rPr>
          <w:rFonts w:cstheme="minorHAnsi"/>
        </w:rPr>
      </w:pPr>
    </w:p>
    <w:sectPr w:rsidR="00B13905" w:rsidRPr="00EE4688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8956" w14:textId="77777777" w:rsidR="009D07DC" w:rsidRDefault="009D07DC" w:rsidP="005B52CE">
      <w:pPr>
        <w:spacing w:after="0" w:line="240" w:lineRule="auto"/>
      </w:pPr>
      <w:r>
        <w:separator/>
      </w:r>
    </w:p>
  </w:endnote>
  <w:endnote w:type="continuationSeparator" w:id="0">
    <w:p w14:paraId="2C5FCFD3" w14:textId="77777777" w:rsidR="009D07DC" w:rsidRDefault="009D07DC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F79C" w14:textId="77777777" w:rsidR="009D07DC" w:rsidRDefault="009D07DC" w:rsidP="005B52CE">
      <w:pPr>
        <w:spacing w:after="0" w:line="240" w:lineRule="auto"/>
      </w:pPr>
      <w:r>
        <w:separator/>
      </w:r>
    </w:p>
  </w:footnote>
  <w:footnote w:type="continuationSeparator" w:id="0">
    <w:p w14:paraId="3CA1595D" w14:textId="77777777" w:rsidR="009D07DC" w:rsidRDefault="009D07DC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4312E2D6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072194" w:rsidRPr="00EE4688">
      <w:rPr>
        <w:rFonts w:asciiTheme="minorHAnsi" w:hAnsiTheme="minorHAnsi" w:cstheme="minorHAnsi"/>
        <w:sz w:val="24"/>
        <w:szCs w:val="24"/>
      </w:rPr>
      <w:t xml:space="preserve"> </w:t>
    </w:r>
    <w:r w:rsidR="00EA2AC3">
      <w:rPr>
        <w:rFonts w:asciiTheme="minorHAnsi" w:hAnsiTheme="minorHAnsi" w:cstheme="minorHAnsi"/>
        <w:b w:val="0"/>
        <w:sz w:val="24"/>
        <w:szCs w:val="24"/>
      </w:rPr>
      <w:t>FO</w:t>
    </w:r>
    <w:r w:rsidR="00EE4688" w:rsidRPr="00EE4688">
      <w:rPr>
        <w:rFonts w:asciiTheme="minorHAnsi" w:hAnsiTheme="minorHAnsi" w:cstheme="minorHAnsi"/>
        <w:b w:val="0"/>
        <w:sz w:val="24"/>
        <w:szCs w:val="24"/>
      </w:rPr>
      <w:t xml:space="preserve"> </w:t>
    </w:r>
    <w:r w:rsidR="001302D5">
      <w:rPr>
        <w:rFonts w:asciiTheme="minorHAnsi" w:hAnsiTheme="minorHAnsi" w:cstheme="minorHAnsi"/>
        <w:b w:val="0"/>
        <w:sz w:val="24"/>
        <w:szCs w:val="24"/>
      </w:rPr>
      <w:t>16</w:t>
    </w:r>
    <w:r w:rsidR="006F0D7A" w:rsidRPr="00EE4688">
      <w:rPr>
        <w:rFonts w:asciiTheme="minorHAnsi" w:hAnsiTheme="minorHAnsi" w:cstheme="minorHAnsi"/>
        <w:b w:val="0"/>
        <w:sz w:val="24"/>
        <w:szCs w:val="24"/>
      </w:rPr>
      <w:t>0</w:t>
    </w:r>
    <w:r w:rsidRPr="00EE4688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72194"/>
    <w:rsid w:val="00080BB2"/>
    <w:rsid w:val="00092261"/>
    <w:rsid w:val="000A1179"/>
    <w:rsid w:val="000A36C7"/>
    <w:rsid w:val="000B1660"/>
    <w:rsid w:val="000E267C"/>
    <w:rsid w:val="000F3AB5"/>
    <w:rsid w:val="00103033"/>
    <w:rsid w:val="00106DF3"/>
    <w:rsid w:val="0011260F"/>
    <w:rsid w:val="001302D5"/>
    <w:rsid w:val="0013300E"/>
    <w:rsid w:val="001663CA"/>
    <w:rsid w:val="00166403"/>
    <w:rsid w:val="001727A1"/>
    <w:rsid w:val="00180FC4"/>
    <w:rsid w:val="001914E0"/>
    <w:rsid w:val="00192252"/>
    <w:rsid w:val="00196DA1"/>
    <w:rsid w:val="001A2560"/>
    <w:rsid w:val="001B2DDC"/>
    <w:rsid w:val="001B5189"/>
    <w:rsid w:val="001D3484"/>
    <w:rsid w:val="001E7785"/>
    <w:rsid w:val="001F3193"/>
    <w:rsid w:val="002050CE"/>
    <w:rsid w:val="00210CC8"/>
    <w:rsid w:val="00211863"/>
    <w:rsid w:val="00211C07"/>
    <w:rsid w:val="0021562C"/>
    <w:rsid w:val="0021799B"/>
    <w:rsid w:val="002465D7"/>
    <w:rsid w:val="002755B8"/>
    <w:rsid w:val="0027561E"/>
    <w:rsid w:val="002779F2"/>
    <w:rsid w:val="002934EF"/>
    <w:rsid w:val="002A1AC7"/>
    <w:rsid w:val="002A45C4"/>
    <w:rsid w:val="002B2D1E"/>
    <w:rsid w:val="002C5C3B"/>
    <w:rsid w:val="002C6D9B"/>
    <w:rsid w:val="002E3C2E"/>
    <w:rsid w:val="002E4BCA"/>
    <w:rsid w:val="00310787"/>
    <w:rsid w:val="003179A9"/>
    <w:rsid w:val="0032293F"/>
    <w:rsid w:val="003259BB"/>
    <w:rsid w:val="00331908"/>
    <w:rsid w:val="00333681"/>
    <w:rsid w:val="0033742D"/>
    <w:rsid w:val="003424F3"/>
    <w:rsid w:val="0037135F"/>
    <w:rsid w:val="00380238"/>
    <w:rsid w:val="003B0227"/>
    <w:rsid w:val="003B1869"/>
    <w:rsid w:val="003C0A5C"/>
    <w:rsid w:val="003C0C27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5353E"/>
    <w:rsid w:val="004600A2"/>
    <w:rsid w:val="00464536"/>
    <w:rsid w:val="004713B9"/>
    <w:rsid w:val="00471444"/>
    <w:rsid w:val="004820D1"/>
    <w:rsid w:val="00483BA6"/>
    <w:rsid w:val="0048626F"/>
    <w:rsid w:val="004A666E"/>
    <w:rsid w:val="004D1034"/>
    <w:rsid w:val="004D4F76"/>
    <w:rsid w:val="004F50C7"/>
    <w:rsid w:val="00506209"/>
    <w:rsid w:val="005675A5"/>
    <w:rsid w:val="00582D17"/>
    <w:rsid w:val="0058677F"/>
    <w:rsid w:val="005A5666"/>
    <w:rsid w:val="005B52CE"/>
    <w:rsid w:val="005C22B5"/>
    <w:rsid w:val="005C7F5C"/>
    <w:rsid w:val="005D05E6"/>
    <w:rsid w:val="005D06EB"/>
    <w:rsid w:val="005D4804"/>
    <w:rsid w:val="005D6285"/>
    <w:rsid w:val="005D7CB6"/>
    <w:rsid w:val="005F5BD4"/>
    <w:rsid w:val="0061031D"/>
    <w:rsid w:val="00616E74"/>
    <w:rsid w:val="00620A05"/>
    <w:rsid w:val="00646730"/>
    <w:rsid w:val="00654500"/>
    <w:rsid w:val="00665C26"/>
    <w:rsid w:val="00670728"/>
    <w:rsid w:val="00671911"/>
    <w:rsid w:val="00681F03"/>
    <w:rsid w:val="00687A91"/>
    <w:rsid w:val="006A03A0"/>
    <w:rsid w:val="006A19AC"/>
    <w:rsid w:val="006A2004"/>
    <w:rsid w:val="006B33B4"/>
    <w:rsid w:val="006B64AC"/>
    <w:rsid w:val="006F0D7A"/>
    <w:rsid w:val="006F7DE0"/>
    <w:rsid w:val="00701F91"/>
    <w:rsid w:val="007062F5"/>
    <w:rsid w:val="00711745"/>
    <w:rsid w:val="00725F04"/>
    <w:rsid w:val="00744184"/>
    <w:rsid w:val="00744713"/>
    <w:rsid w:val="00751CAD"/>
    <w:rsid w:val="0076150C"/>
    <w:rsid w:val="007667C8"/>
    <w:rsid w:val="00794D02"/>
    <w:rsid w:val="007A79AA"/>
    <w:rsid w:val="007B3AB0"/>
    <w:rsid w:val="007B504F"/>
    <w:rsid w:val="007D10A4"/>
    <w:rsid w:val="00801E7E"/>
    <w:rsid w:val="00802857"/>
    <w:rsid w:val="008175A9"/>
    <w:rsid w:val="00831D1D"/>
    <w:rsid w:val="00836A40"/>
    <w:rsid w:val="00862DF5"/>
    <w:rsid w:val="008652F4"/>
    <w:rsid w:val="00866407"/>
    <w:rsid w:val="0088382C"/>
    <w:rsid w:val="008C4EF4"/>
    <w:rsid w:val="008E39D4"/>
    <w:rsid w:val="008F2B3D"/>
    <w:rsid w:val="00916C51"/>
    <w:rsid w:val="009406DC"/>
    <w:rsid w:val="00967EDA"/>
    <w:rsid w:val="0098547D"/>
    <w:rsid w:val="009B7AE7"/>
    <w:rsid w:val="009C3E2F"/>
    <w:rsid w:val="009D07DC"/>
    <w:rsid w:val="009F4FDF"/>
    <w:rsid w:val="00A01147"/>
    <w:rsid w:val="00A35643"/>
    <w:rsid w:val="00A45DBF"/>
    <w:rsid w:val="00A61457"/>
    <w:rsid w:val="00AB2788"/>
    <w:rsid w:val="00AC3FE4"/>
    <w:rsid w:val="00AD61F6"/>
    <w:rsid w:val="00AE43C5"/>
    <w:rsid w:val="00AE73DF"/>
    <w:rsid w:val="00AF0325"/>
    <w:rsid w:val="00AF1D4F"/>
    <w:rsid w:val="00AF4A35"/>
    <w:rsid w:val="00AF6C17"/>
    <w:rsid w:val="00B0712E"/>
    <w:rsid w:val="00B13905"/>
    <w:rsid w:val="00B400A6"/>
    <w:rsid w:val="00B42FD9"/>
    <w:rsid w:val="00B438D0"/>
    <w:rsid w:val="00B65AC9"/>
    <w:rsid w:val="00BC47F4"/>
    <w:rsid w:val="00BE79D1"/>
    <w:rsid w:val="00C01E55"/>
    <w:rsid w:val="00C159A0"/>
    <w:rsid w:val="00C17E96"/>
    <w:rsid w:val="00C23983"/>
    <w:rsid w:val="00C3190C"/>
    <w:rsid w:val="00C44FBC"/>
    <w:rsid w:val="00C557C5"/>
    <w:rsid w:val="00C8784A"/>
    <w:rsid w:val="00C92905"/>
    <w:rsid w:val="00C94E93"/>
    <w:rsid w:val="00CB5827"/>
    <w:rsid w:val="00CB7555"/>
    <w:rsid w:val="00CD175E"/>
    <w:rsid w:val="00CD4295"/>
    <w:rsid w:val="00CF4060"/>
    <w:rsid w:val="00D37584"/>
    <w:rsid w:val="00D52327"/>
    <w:rsid w:val="00D72DD1"/>
    <w:rsid w:val="00D86455"/>
    <w:rsid w:val="00D867FB"/>
    <w:rsid w:val="00D90ADC"/>
    <w:rsid w:val="00D92C83"/>
    <w:rsid w:val="00D95E07"/>
    <w:rsid w:val="00DB2B23"/>
    <w:rsid w:val="00DD04ED"/>
    <w:rsid w:val="00E15852"/>
    <w:rsid w:val="00E468EA"/>
    <w:rsid w:val="00E51081"/>
    <w:rsid w:val="00E81A78"/>
    <w:rsid w:val="00E865E2"/>
    <w:rsid w:val="00EA2AC3"/>
    <w:rsid w:val="00EB1578"/>
    <w:rsid w:val="00ED57CF"/>
    <w:rsid w:val="00EE3E9E"/>
    <w:rsid w:val="00EE4688"/>
    <w:rsid w:val="00F064CE"/>
    <w:rsid w:val="00F413ED"/>
    <w:rsid w:val="00F43DBB"/>
    <w:rsid w:val="00F543D5"/>
    <w:rsid w:val="00F65A52"/>
    <w:rsid w:val="00F66BB3"/>
    <w:rsid w:val="00F833DA"/>
    <w:rsid w:val="00F8613A"/>
    <w:rsid w:val="00FA1473"/>
    <w:rsid w:val="00FB0235"/>
    <w:rsid w:val="00FC26FC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E6912"/>
  <w15:docId w15:val="{C89A9705-BD04-44C9-B80B-116E47E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B4C1E-B9E6-4483-AB88-C14AA1158C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4E4FD-B6E3-41F5-B165-2A93C6572902}"/>
</file>

<file path=customXml/itemProps3.xml><?xml version="1.0" encoding="utf-8"?>
<ds:datastoreItem xmlns:ds="http://schemas.openxmlformats.org/officeDocument/2006/customXml" ds:itemID="{600FF6F4-0938-4DD8-8128-828F092D2D77}"/>
</file>

<file path=customXml/itemProps4.xml><?xml version="1.0" encoding="utf-8"?>
<ds:datastoreItem xmlns:ds="http://schemas.openxmlformats.org/officeDocument/2006/customXml" ds:itemID="{11BCACE7-6706-4819-945D-474A1638FC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177</cp:revision>
  <dcterms:created xsi:type="dcterms:W3CDTF">2020-08-08T06:43:00Z</dcterms:created>
  <dcterms:modified xsi:type="dcterms:W3CDTF">2021-09-05T12:48:00Z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