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45" w:type="dxa"/>
        <w:tblInd w:w="-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6"/>
        <w:gridCol w:w="2388"/>
        <w:gridCol w:w="2491"/>
      </w:tblGrid>
      <w:tr w:rsidR="00260F13" w:rsidRPr="00703023" w14:paraId="184A2300" w14:textId="77777777" w:rsidTr="00260F13">
        <w:trPr>
          <w:trHeight w:val="260"/>
        </w:trPr>
        <w:tc>
          <w:tcPr>
            <w:tcW w:w="10145" w:type="dxa"/>
            <w:gridSpan w:val="3"/>
          </w:tcPr>
          <w:p w14:paraId="30A3D5B4" w14:textId="1B5F8898" w:rsidR="00260F13" w:rsidRPr="00703023" w:rsidRDefault="00260F13" w:rsidP="00486D3F">
            <w:pPr>
              <w:spacing w:line="276" w:lineRule="auto"/>
              <w:ind w:left="-105" w:firstLine="105"/>
              <w:jc w:val="both"/>
              <w:rPr>
                <w:rFonts w:cstheme="minorHAnsi"/>
                <w:b/>
              </w:rPr>
            </w:pPr>
            <w:r w:rsidRPr="00703023">
              <w:rPr>
                <w:rFonts w:cstheme="minorHAnsi"/>
                <w:b/>
              </w:rPr>
              <w:t xml:space="preserve">Client Name: </w:t>
            </w:r>
            <w:r w:rsidR="002A706D" w:rsidRPr="006D74FE">
              <w:rPr>
                <w:rFonts w:cstheme="minorHAnsi"/>
              </w:rPr>
              <w:t xml:space="preserve">Cosmopolitan Industries </w:t>
            </w:r>
            <w:proofErr w:type="spellStart"/>
            <w:r w:rsidR="002A706D" w:rsidRPr="006D74FE">
              <w:rPr>
                <w:rFonts w:cstheme="minorHAnsi"/>
              </w:rPr>
              <w:t>Pvt.</w:t>
            </w:r>
            <w:proofErr w:type="spellEnd"/>
            <w:r w:rsidR="002A706D" w:rsidRPr="006D74FE">
              <w:rPr>
                <w:rFonts w:cstheme="minorHAnsi"/>
              </w:rPr>
              <w:t xml:space="preserve"> Ltd. (CIPL)</w:t>
            </w:r>
          </w:p>
        </w:tc>
      </w:tr>
      <w:tr w:rsidR="00260F13" w:rsidRPr="00703023" w14:paraId="3C68FB59" w14:textId="77777777" w:rsidTr="00260F13">
        <w:trPr>
          <w:trHeight w:val="260"/>
        </w:trPr>
        <w:tc>
          <w:tcPr>
            <w:tcW w:w="10145" w:type="dxa"/>
            <w:gridSpan w:val="3"/>
          </w:tcPr>
          <w:p w14:paraId="6F2D6AD9" w14:textId="60FC3B44" w:rsidR="00260F13" w:rsidRPr="00703023" w:rsidRDefault="00260F13" w:rsidP="00486D3F">
            <w:pPr>
              <w:spacing w:line="276" w:lineRule="auto"/>
              <w:ind w:left="-105" w:firstLine="105"/>
              <w:jc w:val="both"/>
              <w:rPr>
                <w:rFonts w:cstheme="minorHAnsi"/>
                <w:b/>
              </w:rPr>
            </w:pPr>
            <w:r w:rsidRPr="00703023">
              <w:rPr>
                <w:rFonts w:cstheme="minorHAnsi"/>
                <w:b/>
              </w:rPr>
              <w:t xml:space="preserve">Accounting period: </w:t>
            </w:r>
            <w:r w:rsidRPr="00703023">
              <w:rPr>
                <w:rFonts w:cstheme="minorHAnsi"/>
              </w:rPr>
              <w:t>01 July 202</w:t>
            </w:r>
            <w:r w:rsidR="00416931">
              <w:rPr>
                <w:rFonts w:cstheme="minorHAnsi"/>
              </w:rPr>
              <w:t>1</w:t>
            </w:r>
            <w:r w:rsidRPr="00703023">
              <w:rPr>
                <w:rFonts w:cstheme="minorHAnsi"/>
              </w:rPr>
              <w:t xml:space="preserve"> to 30 June 202</w:t>
            </w:r>
            <w:r w:rsidR="00416931">
              <w:rPr>
                <w:rFonts w:cstheme="minorHAnsi"/>
              </w:rPr>
              <w:t>2</w:t>
            </w:r>
          </w:p>
        </w:tc>
      </w:tr>
      <w:tr w:rsidR="00260F13" w:rsidRPr="00703023" w14:paraId="6AD0BEAF" w14:textId="77777777" w:rsidTr="00260F13">
        <w:trPr>
          <w:trHeight w:val="260"/>
        </w:trPr>
        <w:tc>
          <w:tcPr>
            <w:tcW w:w="5266" w:type="dxa"/>
          </w:tcPr>
          <w:p w14:paraId="227F4A31" w14:textId="002D36C4" w:rsidR="00260F13" w:rsidRPr="00703023" w:rsidRDefault="00260F13" w:rsidP="00486D3F">
            <w:pPr>
              <w:spacing w:line="276" w:lineRule="auto"/>
              <w:ind w:left="-105" w:firstLine="105"/>
              <w:jc w:val="both"/>
              <w:rPr>
                <w:rFonts w:cstheme="minorHAnsi"/>
                <w:b/>
              </w:rPr>
            </w:pPr>
            <w:r w:rsidRPr="00703023">
              <w:rPr>
                <w:rFonts w:cstheme="minorHAnsi"/>
                <w:b/>
              </w:rPr>
              <w:t xml:space="preserve">Prepared by: </w:t>
            </w:r>
            <w:r w:rsidR="002A706D">
              <w:rPr>
                <w:rFonts w:cstheme="minorHAnsi"/>
              </w:rPr>
              <w:t>Imtiaz Rashid</w:t>
            </w:r>
          </w:p>
        </w:tc>
        <w:tc>
          <w:tcPr>
            <w:tcW w:w="2388" w:type="dxa"/>
          </w:tcPr>
          <w:p w14:paraId="084E10DF" w14:textId="77777777" w:rsidR="00260F13" w:rsidRPr="00703023" w:rsidRDefault="00260F13" w:rsidP="00486D3F">
            <w:pPr>
              <w:spacing w:line="276" w:lineRule="auto"/>
              <w:ind w:left="-111" w:firstLine="105"/>
              <w:jc w:val="both"/>
              <w:rPr>
                <w:rFonts w:cstheme="minorHAnsi"/>
                <w:b/>
              </w:rPr>
            </w:pPr>
          </w:p>
        </w:tc>
        <w:tc>
          <w:tcPr>
            <w:tcW w:w="2489" w:type="dxa"/>
          </w:tcPr>
          <w:p w14:paraId="35E9F109" w14:textId="0213644E" w:rsidR="00260F13" w:rsidRPr="00703023" w:rsidRDefault="00260F13" w:rsidP="00486D3F">
            <w:pPr>
              <w:spacing w:line="276" w:lineRule="auto"/>
              <w:ind w:left="-105"/>
              <w:jc w:val="both"/>
              <w:rPr>
                <w:rFonts w:cstheme="minorHAnsi"/>
                <w:b/>
              </w:rPr>
            </w:pPr>
            <w:r w:rsidRPr="00703023">
              <w:rPr>
                <w:rFonts w:cstheme="minorHAnsi"/>
                <w:b/>
              </w:rPr>
              <w:t xml:space="preserve">Date: </w:t>
            </w:r>
            <w:r w:rsidR="00B16BEC" w:rsidRPr="00B16BEC">
              <w:rPr>
                <w:rFonts w:cstheme="minorHAnsi"/>
                <w:bCs/>
              </w:rPr>
              <w:t>25</w:t>
            </w:r>
            <w:r w:rsidRPr="00B16BEC">
              <w:rPr>
                <w:rFonts w:cstheme="minorHAnsi"/>
                <w:bCs/>
              </w:rPr>
              <w:t xml:space="preserve"> </w:t>
            </w:r>
            <w:r w:rsidR="00B16BEC">
              <w:rPr>
                <w:rFonts w:cstheme="minorHAnsi"/>
                <w:bCs/>
              </w:rPr>
              <w:t>July</w:t>
            </w:r>
            <w:r w:rsidRPr="00703023">
              <w:rPr>
                <w:rFonts w:cstheme="minorHAnsi"/>
                <w:bCs/>
              </w:rPr>
              <w:t xml:space="preserve"> 202</w:t>
            </w:r>
            <w:r w:rsidR="00416931">
              <w:rPr>
                <w:rFonts w:cstheme="minorHAnsi"/>
                <w:bCs/>
              </w:rPr>
              <w:t>2</w:t>
            </w:r>
          </w:p>
        </w:tc>
      </w:tr>
      <w:tr w:rsidR="00260F13" w:rsidRPr="00703023" w14:paraId="73E2D770" w14:textId="77777777" w:rsidTr="00260F13">
        <w:trPr>
          <w:trHeight w:val="260"/>
        </w:trPr>
        <w:tc>
          <w:tcPr>
            <w:tcW w:w="5266" w:type="dxa"/>
          </w:tcPr>
          <w:p w14:paraId="700D08A5" w14:textId="09081515" w:rsidR="00260F13" w:rsidRDefault="003C7EB8" w:rsidP="00486D3F">
            <w:pPr>
              <w:spacing w:line="276" w:lineRule="auto"/>
              <w:ind w:left="-110" w:firstLine="105"/>
              <w:jc w:val="both"/>
              <w:rPr>
                <w:rFonts w:cstheme="minorHAnsi"/>
                <w:bCs/>
              </w:rPr>
            </w:pPr>
            <w:r>
              <w:rPr>
                <w:rFonts w:cstheme="minorHAnsi"/>
                <w:b/>
              </w:rPr>
              <w:t>R</w:t>
            </w:r>
            <w:r w:rsidR="00260F13" w:rsidRPr="00703023">
              <w:rPr>
                <w:rFonts w:cstheme="minorHAnsi"/>
                <w:b/>
              </w:rPr>
              <w:t xml:space="preserve">eviewed by: </w:t>
            </w:r>
            <w:r w:rsidR="00416931">
              <w:rPr>
                <w:rFonts w:cstheme="minorHAnsi"/>
                <w:bCs/>
              </w:rPr>
              <w:t>Salauddin Morshed</w:t>
            </w:r>
          </w:p>
          <w:p w14:paraId="6530264D" w14:textId="32ABB001" w:rsidR="00260F13" w:rsidRPr="00703023" w:rsidRDefault="00260F13" w:rsidP="00486D3F">
            <w:pPr>
              <w:spacing w:line="276" w:lineRule="auto"/>
              <w:ind w:left="-110" w:firstLine="105"/>
              <w:jc w:val="both"/>
              <w:rPr>
                <w:rFonts w:cstheme="minorHAnsi"/>
                <w:b/>
              </w:rPr>
            </w:pPr>
            <w:r>
              <w:rPr>
                <w:rFonts w:cstheme="minorHAnsi"/>
                <w:b/>
              </w:rPr>
              <w:t xml:space="preserve">Further Reviewed by: </w:t>
            </w:r>
            <w:r w:rsidRPr="00260F13">
              <w:rPr>
                <w:rFonts w:cstheme="minorHAnsi"/>
                <w:bCs/>
              </w:rPr>
              <w:t>Faruk Uddin Ahammed, FCA, CISA</w:t>
            </w:r>
          </w:p>
        </w:tc>
        <w:tc>
          <w:tcPr>
            <w:tcW w:w="2388" w:type="dxa"/>
          </w:tcPr>
          <w:p w14:paraId="033A3304" w14:textId="77777777" w:rsidR="00260F13" w:rsidRPr="00703023" w:rsidRDefault="00260F13" w:rsidP="00486D3F">
            <w:pPr>
              <w:spacing w:line="276" w:lineRule="auto"/>
              <w:ind w:left="-105" w:firstLine="105"/>
              <w:jc w:val="both"/>
              <w:rPr>
                <w:rFonts w:cstheme="minorHAnsi"/>
                <w:b/>
              </w:rPr>
            </w:pPr>
          </w:p>
        </w:tc>
        <w:tc>
          <w:tcPr>
            <w:tcW w:w="2489" w:type="dxa"/>
          </w:tcPr>
          <w:p w14:paraId="37EBC2B6" w14:textId="2168457D" w:rsidR="00260F13" w:rsidRDefault="00260F13" w:rsidP="00486D3F">
            <w:pPr>
              <w:spacing w:line="276" w:lineRule="auto"/>
              <w:ind w:left="-100"/>
              <w:jc w:val="both"/>
              <w:rPr>
                <w:rFonts w:cstheme="minorHAnsi"/>
                <w:bCs/>
              </w:rPr>
            </w:pPr>
            <w:r w:rsidRPr="00703023">
              <w:rPr>
                <w:rFonts w:cstheme="minorHAnsi"/>
                <w:b/>
              </w:rPr>
              <w:t>Date:</w:t>
            </w:r>
            <w:r w:rsidRPr="00703023">
              <w:rPr>
                <w:rFonts w:cstheme="minorHAnsi"/>
                <w:bCs/>
              </w:rPr>
              <w:t xml:space="preserve"> </w:t>
            </w:r>
            <w:r w:rsidR="00B16BEC">
              <w:rPr>
                <w:rFonts w:cstheme="minorHAnsi"/>
                <w:bCs/>
              </w:rPr>
              <w:t>31</w:t>
            </w:r>
            <w:r w:rsidR="00B16BEC" w:rsidRPr="00B16BEC">
              <w:rPr>
                <w:rFonts w:cstheme="minorHAnsi"/>
                <w:bCs/>
              </w:rPr>
              <w:t xml:space="preserve"> </w:t>
            </w:r>
            <w:r w:rsidR="00B16BEC">
              <w:rPr>
                <w:rFonts w:cstheme="minorHAnsi"/>
                <w:bCs/>
              </w:rPr>
              <w:t>July</w:t>
            </w:r>
            <w:r w:rsidR="00B16BEC" w:rsidRPr="00703023">
              <w:rPr>
                <w:rFonts w:cstheme="minorHAnsi"/>
                <w:bCs/>
              </w:rPr>
              <w:t xml:space="preserve"> 202</w:t>
            </w:r>
            <w:r w:rsidR="00416931">
              <w:rPr>
                <w:rFonts w:cstheme="minorHAnsi"/>
                <w:bCs/>
              </w:rPr>
              <w:t>2</w:t>
            </w:r>
          </w:p>
          <w:p w14:paraId="3999C2D0" w14:textId="50CE385C" w:rsidR="00260F13" w:rsidRDefault="00260F13" w:rsidP="00486D3F">
            <w:pPr>
              <w:spacing w:line="276" w:lineRule="auto"/>
              <w:ind w:left="-100"/>
              <w:jc w:val="both"/>
              <w:rPr>
                <w:rFonts w:cstheme="minorHAnsi"/>
                <w:bCs/>
              </w:rPr>
            </w:pPr>
            <w:r>
              <w:rPr>
                <w:rFonts w:cstheme="minorHAnsi"/>
                <w:b/>
              </w:rPr>
              <w:t xml:space="preserve">Date: </w:t>
            </w:r>
            <w:r w:rsidR="003C7EB8">
              <w:rPr>
                <w:rFonts w:cstheme="minorHAnsi"/>
                <w:bCs/>
              </w:rPr>
              <w:t>31</w:t>
            </w:r>
            <w:r w:rsidR="003C7EB8" w:rsidRPr="00B16BEC">
              <w:rPr>
                <w:rFonts w:cstheme="minorHAnsi"/>
                <w:bCs/>
              </w:rPr>
              <w:t xml:space="preserve"> </w:t>
            </w:r>
            <w:r w:rsidR="003C7EB8">
              <w:rPr>
                <w:rFonts w:cstheme="minorHAnsi"/>
                <w:bCs/>
              </w:rPr>
              <w:t>July</w:t>
            </w:r>
            <w:r w:rsidR="003C7EB8" w:rsidRPr="00703023">
              <w:rPr>
                <w:rFonts w:cstheme="minorHAnsi"/>
                <w:bCs/>
              </w:rPr>
              <w:t xml:space="preserve"> 202</w:t>
            </w:r>
            <w:r w:rsidR="00416931">
              <w:rPr>
                <w:rFonts w:cstheme="minorHAnsi"/>
                <w:bCs/>
              </w:rPr>
              <w:t>2</w:t>
            </w:r>
          </w:p>
          <w:p w14:paraId="6AC3C82A" w14:textId="12550874" w:rsidR="003C7EB8" w:rsidRPr="00703023" w:rsidRDefault="003C7EB8" w:rsidP="00486D3F">
            <w:pPr>
              <w:spacing w:line="276" w:lineRule="auto"/>
              <w:ind w:left="-100"/>
              <w:jc w:val="both"/>
              <w:rPr>
                <w:rFonts w:cstheme="minorHAnsi"/>
                <w:b/>
              </w:rPr>
            </w:pPr>
          </w:p>
        </w:tc>
      </w:tr>
      <w:tr w:rsidR="00260F13" w:rsidRPr="00703023" w14:paraId="3C6197C9" w14:textId="77777777" w:rsidTr="00260F13">
        <w:trPr>
          <w:trHeight w:val="260"/>
        </w:trPr>
        <w:tc>
          <w:tcPr>
            <w:tcW w:w="10145" w:type="dxa"/>
            <w:gridSpan w:val="3"/>
          </w:tcPr>
          <w:p w14:paraId="606FCEE9" w14:textId="3EA69D26" w:rsidR="00260F13" w:rsidRPr="00703023" w:rsidRDefault="00260F13" w:rsidP="00486D3F">
            <w:pPr>
              <w:spacing w:line="276" w:lineRule="auto"/>
              <w:ind w:left="-105" w:firstLine="105"/>
              <w:jc w:val="both"/>
              <w:rPr>
                <w:rFonts w:cstheme="minorHAnsi"/>
                <w:b/>
              </w:rPr>
            </w:pPr>
            <w:r w:rsidRPr="00703023">
              <w:rPr>
                <w:rFonts w:cstheme="minorHAnsi"/>
                <w:b/>
              </w:rPr>
              <w:t xml:space="preserve">Subject: </w:t>
            </w:r>
            <w:r w:rsidRPr="00703023">
              <w:rPr>
                <w:rFonts w:cstheme="minorHAnsi"/>
              </w:rPr>
              <w:t xml:space="preserve">Materiality Memo for the audit of </w:t>
            </w:r>
            <w:r w:rsidR="005626EC">
              <w:rPr>
                <w:rFonts w:cstheme="minorHAnsi"/>
              </w:rPr>
              <w:t>CIPL</w:t>
            </w:r>
            <w:r w:rsidRPr="00703023">
              <w:rPr>
                <w:rFonts w:cstheme="minorHAnsi"/>
              </w:rPr>
              <w:t xml:space="preserve"> </w:t>
            </w:r>
          </w:p>
        </w:tc>
      </w:tr>
    </w:tbl>
    <w:p w14:paraId="458939A7" w14:textId="6FB3806F" w:rsidR="009D5F01" w:rsidRPr="00B1096E" w:rsidRDefault="001D40A0" w:rsidP="00D70F6B">
      <w:pPr>
        <w:spacing w:before="240" w:after="0"/>
        <w:jc w:val="both"/>
        <w:rPr>
          <w:rFonts w:cstheme="minorHAnsi"/>
          <w:szCs w:val="20"/>
        </w:rPr>
      </w:pPr>
      <w:r w:rsidRPr="00B1096E">
        <w:rPr>
          <w:rFonts w:cstheme="minorHAnsi"/>
          <w:b/>
          <w:szCs w:val="20"/>
        </w:rPr>
        <w:t xml:space="preserve">Objective: </w:t>
      </w:r>
      <w:r w:rsidRPr="00B1096E">
        <w:rPr>
          <w:rFonts w:cstheme="minorHAnsi"/>
          <w:szCs w:val="20"/>
        </w:rPr>
        <w:t>The objective of this memo is to document</w:t>
      </w:r>
      <w:r w:rsidR="007C6A7A" w:rsidRPr="00B1096E">
        <w:rPr>
          <w:rFonts w:cstheme="minorHAnsi"/>
          <w:szCs w:val="20"/>
        </w:rPr>
        <w:t xml:space="preserve"> </w:t>
      </w:r>
      <w:r w:rsidR="009D5751" w:rsidRPr="00B1096E">
        <w:rPr>
          <w:rFonts w:cstheme="minorHAnsi"/>
          <w:szCs w:val="20"/>
        </w:rPr>
        <w:t>rationale for materiality benchmark</w:t>
      </w:r>
      <w:r w:rsidR="0020241A" w:rsidRPr="00B1096E">
        <w:rPr>
          <w:rFonts w:cstheme="minorHAnsi"/>
          <w:szCs w:val="20"/>
        </w:rPr>
        <w:t xml:space="preserve"> and the percentage to be applied in </w:t>
      </w:r>
      <w:r w:rsidR="00C773EA" w:rsidRPr="00B1096E">
        <w:rPr>
          <w:rFonts w:cstheme="minorHAnsi"/>
          <w:szCs w:val="20"/>
        </w:rPr>
        <w:t xml:space="preserve">determining </w:t>
      </w:r>
      <w:r w:rsidR="00CA3E46">
        <w:rPr>
          <w:rFonts w:cstheme="minorHAnsi"/>
          <w:szCs w:val="20"/>
        </w:rPr>
        <w:t xml:space="preserve">Audit </w:t>
      </w:r>
      <w:r w:rsidR="0020241A" w:rsidRPr="00B1096E">
        <w:rPr>
          <w:rFonts w:cstheme="minorHAnsi"/>
          <w:szCs w:val="20"/>
        </w:rPr>
        <w:t>Materiality</w:t>
      </w:r>
      <w:r w:rsidR="009D5F01" w:rsidRPr="00B1096E">
        <w:rPr>
          <w:rFonts w:cstheme="minorHAnsi"/>
          <w:szCs w:val="20"/>
        </w:rPr>
        <w:t>.</w:t>
      </w:r>
    </w:p>
    <w:p w14:paraId="3C75839A" w14:textId="77777777" w:rsidR="006B54EB" w:rsidRPr="00B1096E" w:rsidRDefault="0090418F" w:rsidP="003C1140">
      <w:pPr>
        <w:spacing w:before="240"/>
        <w:jc w:val="both"/>
        <w:rPr>
          <w:rFonts w:cstheme="minorHAnsi"/>
          <w:szCs w:val="20"/>
        </w:rPr>
      </w:pPr>
      <w:r w:rsidRPr="00B1096E">
        <w:rPr>
          <w:rFonts w:cstheme="minorHAnsi"/>
          <w:b/>
          <w:szCs w:val="20"/>
        </w:rPr>
        <w:t>Background:</w:t>
      </w:r>
      <w:r w:rsidRPr="00B1096E">
        <w:rPr>
          <w:rFonts w:cstheme="minorHAnsi"/>
          <w:szCs w:val="20"/>
        </w:rPr>
        <w:t xml:space="preserve"> </w:t>
      </w:r>
    </w:p>
    <w:p w14:paraId="762D8106" w14:textId="39D6EE27" w:rsidR="0017503B" w:rsidRPr="0017503B" w:rsidRDefault="0017503B" w:rsidP="0017503B">
      <w:pPr>
        <w:spacing w:before="240"/>
        <w:jc w:val="both"/>
        <w:rPr>
          <w:rFonts w:cstheme="minorHAnsi"/>
        </w:rPr>
      </w:pPr>
      <w:r w:rsidRPr="0017503B">
        <w:rPr>
          <w:rFonts w:cstheme="minorHAnsi"/>
        </w:rPr>
        <w:t xml:space="preserve">Cosmopolitan Industries Private Limited ("the Company” or "CIPL") was incorporated in Bangladesh on 26 June 2005 as a private limited company under the Companies Act, 1994. Cosmopolitan Industries Private Limited, the Company is engaged in the production and export of readymade garments. The Company is in operation with two units namely Washing and Garments unit. The Washing unit commenced its commercial operations from 31 August 2006 for automatic washing of all kinds of garments and the Garments unit commenced its commercial operation from 1 November 2006 </w:t>
      </w:r>
      <w:proofErr w:type="gramStart"/>
      <w:r w:rsidRPr="0017503B">
        <w:rPr>
          <w:rFonts w:cstheme="minorHAnsi"/>
        </w:rPr>
        <w:t>for the production of</w:t>
      </w:r>
      <w:proofErr w:type="gramEnd"/>
      <w:r w:rsidRPr="0017503B">
        <w:rPr>
          <w:rFonts w:cstheme="minorHAnsi"/>
        </w:rPr>
        <w:t xml:space="preserve"> ready-made garments. The Company is a subsidiary of Epic Designers Ltd., Hong Kong.</w:t>
      </w:r>
    </w:p>
    <w:p w14:paraId="3FC90E13" w14:textId="148B193B" w:rsidR="00685F40" w:rsidRPr="00B1096E" w:rsidRDefault="00685F40" w:rsidP="003C1140">
      <w:pPr>
        <w:spacing w:before="240"/>
        <w:jc w:val="both"/>
        <w:rPr>
          <w:rFonts w:cstheme="minorHAnsi"/>
          <w:szCs w:val="20"/>
        </w:rPr>
      </w:pPr>
      <w:r w:rsidRPr="00B1096E">
        <w:rPr>
          <w:rFonts w:cstheme="minorHAnsi"/>
          <w:szCs w:val="20"/>
        </w:rPr>
        <w:t xml:space="preserve">This memo has been prepared to document the rationale for using the benchmark and percentage to determine </w:t>
      </w:r>
      <w:r w:rsidR="00CA3E46">
        <w:rPr>
          <w:rFonts w:cstheme="minorHAnsi"/>
          <w:szCs w:val="20"/>
        </w:rPr>
        <w:t xml:space="preserve">audit </w:t>
      </w:r>
      <w:r w:rsidRPr="00B1096E">
        <w:rPr>
          <w:rFonts w:cstheme="minorHAnsi"/>
          <w:szCs w:val="20"/>
        </w:rPr>
        <w:t>materiality level.</w:t>
      </w:r>
    </w:p>
    <w:p w14:paraId="1F2DD6AF" w14:textId="37FEB4FF" w:rsidR="00664FAD" w:rsidRPr="00B1096E" w:rsidRDefault="00664FAD" w:rsidP="00664FAD">
      <w:pPr>
        <w:spacing w:before="240"/>
        <w:jc w:val="both"/>
        <w:rPr>
          <w:rFonts w:cstheme="minorHAnsi"/>
          <w:szCs w:val="20"/>
        </w:rPr>
      </w:pPr>
      <w:r w:rsidRPr="00B1096E">
        <w:rPr>
          <w:rFonts w:cstheme="minorHAnsi"/>
          <w:szCs w:val="20"/>
        </w:rPr>
        <w:t>For audit of financial statement</w:t>
      </w:r>
      <w:r w:rsidR="00DC5BF0" w:rsidRPr="00B1096E">
        <w:rPr>
          <w:rFonts w:cstheme="minorHAnsi"/>
          <w:szCs w:val="20"/>
        </w:rPr>
        <w:t>s</w:t>
      </w:r>
      <w:r w:rsidRPr="00B1096E">
        <w:rPr>
          <w:rFonts w:cstheme="minorHAnsi"/>
          <w:szCs w:val="20"/>
        </w:rPr>
        <w:t xml:space="preserve"> of this company, materiality level needs to be set and for this purpose, we have reviewed/analysed what area should be the most appropriate to consider as benchmark and how much percentage we can apply to set the most appropriate </w:t>
      </w:r>
      <w:r w:rsidR="00CA3E46">
        <w:rPr>
          <w:rFonts w:cstheme="minorHAnsi"/>
          <w:szCs w:val="20"/>
        </w:rPr>
        <w:t xml:space="preserve">audit </w:t>
      </w:r>
      <w:r w:rsidRPr="00B1096E">
        <w:rPr>
          <w:rFonts w:cstheme="minorHAnsi"/>
          <w:szCs w:val="20"/>
        </w:rPr>
        <w:t>materiality level.</w:t>
      </w:r>
    </w:p>
    <w:p w14:paraId="680996A1" w14:textId="77777777" w:rsidR="0078510E" w:rsidRPr="00B1096E" w:rsidRDefault="0078510E" w:rsidP="008E36AA">
      <w:pPr>
        <w:spacing w:before="240"/>
        <w:jc w:val="both"/>
        <w:rPr>
          <w:rFonts w:cstheme="minorHAnsi"/>
          <w:b/>
          <w:szCs w:val="20"/>
        </w:rPr>
      </w:pPr>
      <w:r w:rsidRPr="008F0DBE">
        <w:rPr>
          <w:rFonts w:cstheme="minorHAnsi"/>
          <w:b/>
          <w:szCs w:val="20"/>
        </w:rPr>
        <w:t>Justification:</w:t>
      </w:r>
    </w:p>
    <w:p w14:paraId="52E49F37" w14:textId="1144C2EF" w:rsidR="0078510E" w:rsidRDefault="0078510E" w:rsidP="008E36AA">
      <w:pPr>
        <w:spacing w:before="240"/>
        <w:jc w:val="both"/>
        <w:rPr>
          <w:rFonts w:cstheme="minorHAnsi"/>
          <w:szCs w:val="20"/>
        </w:rPr>
      </w:pPr>
      <w:r w:rsidRPr="00B1096E">
        <w:rPr>
          <w:rFonts w:cstheme="minorHAnsi"/>
          <w:szCs w:val="20"/>
        </w:rPr>
        <w:t xml:space="preserve">To exercise this, we </w:t>
      </w:r>
      <w:r>
        <w:rPr>
          <w:rFonts w:cstheme="minorHAnsi"/>
          <w:szCs w:val="20"/>
        </w:rPr>
        <w:t xml:space="preserve">have </w:t>
      </w:r>
      <w:r w:rsidRPr="00B1096E">
        <w:rPr>
          <w:rFonts w:cstheme="minorHAnsi"/>
          <w:szCs w:val="20"/>
        </w:rPr>
        <w:t xml:space="preserve">analysed the company’s financial statements. We noted that the company’s business is in garments sector and its main earning is export sales and again this export is made to the parent company, </w:t>
      </w:r>
      <w:r w:rsidR="00BC6603" w:rsidRPr="00B1096E">
        <w:rPr>
          <w:rFonts w:cstheme="minorHAnsi"/>
          <w:szCs w:val="20"/>
        </w:rPr>
        <w:t>i.e.,</w:t>
      </w:r>
      <w:r w:rsidRPr="00B1096E">
        <w:rPr>
          <w:rFonts w:cstheme="minorHAnsi"/>
          <w:szCs w:val="20"/>
        </w:rPr>
        <w:t xml:space="preserve"> Epic Designers Limited, located in Hong Kong.</w:t>
      </w:r>
    </w:p>
    <w:p w14:paraId="27BCDD12" w14:textId="765BE2E5" w:rsidR="0078510E" w:rsidRPr="00FE6643" w:rsidRDefault="0078510E" w:rsidP="008E36AA">
      <w:pPr>
        <w:spacing w:before="240"/>
        <w:jc w:val="both"/>
        <w:rPr>
          <w:rFonts w:cstheme="minorHAnsi"/>
          <w:szCs w:val="20"/>
        </w:rPr>
      </w:pPr>
      <w:r w:rsidRPr="00FE6643">
        <w:rPr>
          <w:rFonts w:cstheme="minorHAnsi"/>
          <w:szCs w:val="20"/>
        </w:rPr>
        <w:t xml:space="preserve">We have identified </w:t>
      </w:r>
      <w:r>
        <w:rPr>
          <w:rFonts w:cstheme="minorHAnsi"/>
          <w:szCs w:val="20"/>
        </w:rPr>
        <w:t xml:space="preserve">the </w:t>
      </w:r>
      <w:r w:rsidRPr="00FE6643">
        <w:rPr>
          <w:rFonts w:cstheme="minorHAnsi"/>
          <w:szCs w:val="20"/>
        </w:rPr>
        <w:t xml:space="preserve">company’s </w:t>
      </w:r>
      <w:r>
        <w:rPr>
          <w:rFonts w:cstheme="minorHAnsi"/>
          <w:szCs w:val="20"/>
        </w:rPr>
        <w:t xml:space="preserve">users of the financial statements and they are mainly: shareholders, </w:t>
      </w:r>
      <w:r w:rsidR="00BC6603" w:rsidRPr="00FE6643">
        <w:rPr>
          <w:rFonts w:cstheme="minorHAnsi"/>
          <w:szCs w:val="20"/>
        </w:rPr>
        <w:t>regulators,</w:t>
      </w:r>
      <w:r w:rsidRPr="00FE6643">
        <w:rPr>
          <w:rFonts w:cstheme="minorHAnsi"/>
          <w:szCs w:val="20"/>
        </w:rPr>
        <w:t xml:space="preserve"> and </w:t>
      </w:r>
      <w:r>
        <w:rPr>
          <w:rFonts w:cstheme="minorHAnsi"/>
          <w:szCs w:val="20"/>
        </w:rPr>
        <w:t>the loan providers.</w:t>
      </w:r>
      <w:r w:rsidRPr="00FE6643">
        <w:rPr>
          <w:rFonts w:cstheme="minorHAnsi"/>
          <w:szCs w:val="20"/>
        </w:rPr>
        <w:t xml:space="preserve"> We have also analysed their probable focus areas</w:t>
      </w:r>
      <w:r>
        <w:rPr>
          <w:rFonts w:cstheme="minorHAnsi"/>
          <w:szCs w:val="20"/>
        </w:rPr>
        <w:t xml:space="preserve"> of the financial </w:t>
      </w:r>
      <w:r w:rsidR="00BC6603">
        <w:rPr>
          <w:rFonts w:cstheme="minorHAnsi"/>
          <w:szCs w:val="20"/>
        </w:rPr>
        <w:t>statements,</w:t>
      </w:r>
      <w:r>
        <w:rPr>
          <w:rFonts w:cstheme="minorHAnsi"/>
          <w:szCs w:val="20"/>
        </w:rPr>
        <w:t xml:space="preserve"> and t</w:t>
      </w:r>
      <w:r w:rsidRPr="00FE6643">
        <w:rPr>
          <w:rFonts w:cstheme="minorHAnsi"/>
          <w:szCs w:val="20"/>
        </w:rPr>
        <w:t>hese are given below:</w:t>
      </w:r>
    </w:p>
    <w:tbl>
      <w:tblPr>
        <w:tblStyle w:val="TableGrid"/>
        <w:tblW w:w="0" w:type="auto"/>
        <w:tblLook w:val="04A0" w:firstRow="1" w:lastRow="0" w:firstColumn="1" w:lastColumn="0" w:noHBand="0" w:noVBand="1"/>
      </w:tblPr>
      <w:tblGrid>
        <w:gridCol w:w="895"/>
        <w:gridCol w:w="4230"/>
        <w:gridCol w:w="4323"/>
      </w:tblGrid>
      <w:tr w:rsidR="0078510E" w:rsidRPr="00FE6643" w14:paraId="47A6AF36" w14:textId="77777777" w:rsidTr="008E36AA">
        <w:trPr>
          <w:trHeight w:val="237"/>
        </w:trPr>
        <w:tc>
          <w:tcPr>
            <w:tcW w:w="895" w:type="dxa"/>
            <w:vAlign w:val="center"/>
          </w:tcPr>
          <w:p w14:paraId="1379B816" w14:textId="77777777" w:rsidR="0078510E" w:rsidRPr="00FE6643" w:rsidRDefault="0078510E" w:rsidP="0078510E">
            <w:pPr>
              <w:pStyle w:val="NoSpacing"/>
              <w:jc w:val="center"/>
              <w:rPr>
                <w:b/>
                <w:bCs/>
              </w:rPr>
            </w:pPr>
            <w:r w:rsidRPr="00FE6643">
              <w:rPr>
                <w:b/>
                <w:bCs/>
              </w:rPr>
              <w:t>SL.</w:t>
            </w:r>
          </w:p>
        </w:tc>
        <w:tc>
          <w:tcPr>
            <w:tcW w:w="4230" w:type="dxa"/>
            <w:vAlign w:val="center"/>
          </w:tcPr>
          <w:p w14:paraId="3F97CE7A" w14:textId="77777777" w:rsidR="0078510E" w:rsidRPr="00FE6643" w:rsidRDefault="0078510E" w:rsidP="0078510E">
            <w:pPr>
              <w:pStyle w:val="NoSpacing"/>
              <w:jc w:val="center"/>
              <w:rPr>
                <w:b/>
                <w:bCs/>
              </w:rPr>
            </w:pPr>
            <w:r w:rsidRPr="00FE6643">
              <w:rPr>
                <w:b/>
                <w:bCs/>
              </w:rPr>
              <w:t>Stakeholders</w:t>
            </w:r>
            <w:r>
              <w:rPr>
                <w:b/>
                <w:bCs/>
              </w:rPr>
              <w:t xml:space="preserve">’ </w:t>
            </w:r>
            <w:r w:rsidRPr="00FE6643">
              <w:rPr>
                <w:b/>
                <w:bCs/>
              </w:rPr>
              <w:t>Name</w:t>
            </w:r>
            <w:r>
              <w:rPr>
                <w:b/>
                <w:bCs/>
              </w:rPr>
              <w:t>s</w:t>
            </w:r>
          </w:p>
        </w:tc>
        <w:tc>
          <w:tcPr>
            <w:tcW w:w="4323" w:type="dxa"/>
            <w:vAlign w:val="center"/>
          </w:tcPr>
          <w:p w14:paraId="3DD8F7C9" w14:textId="77777777" w:rsidR="0078510E" w:rsidRPr="00FE6643" w:rsidRDefault="0078510E" w:rsidP="0078510E">
            <w:pPr>
              <w:pStyle w:val="NoSpacing"/>
              <w:jc w:val="center"/>
              <w:rPr>
                <w:b/>
                <w:bCs/>
              </w:rPr>
            </w:pPr>
            <w:r w:rsidRPr="00FE6643">
              <w:rPr>
                <w:b/>
                <w:bCs/>
              </w:rPr>
              <w:t>Focus Point</w:t>
            </w:r>
            <w:r>
              <w:rPr>
                <w:b/>
                <w:bCs/>
              </w:rPr>
              <w:t>s</w:t>
            </w:r>
          </w:p>
        </w:tc>
      </w:tr>
      <w:tr w:rsidR="0078510E" w:rsidRPr="00FE6643" w14:paraId="20568095" w14:textId="77777777" w:rsidTr="008E36AA">
        <w:tc>
          <w:tcPr>
            <w:tcW w:w="895" w:type="dxa"/>
          </w:tcPr>
          <w:p w14:paraId="609C989C" w14:textId="77777777" w:rsidR="0078510E" w:rsidRPr="00FE6643" w:rsidRDefault="0078510E" w:rsidP="0078510E">
            <w:pPr>
              <w:pStyle w:val="NoSpacing"/>
              <w:jc w:val="center"/>
            </w:pPr>
            <w:r w:rsidRPr="00FE6643">
              <w:t>01.</w:t>
            </w:r>
          </w:p>
        </w:tc>
        <w:tc>
          <w:tcPr>
            <w:tcW w:w="4230" w:type="dxa"/>
          </w:tcPr>
          <w:p w14:paraId="72978B62" w14:textId="77777777" w:rsidR="0078510E" w:rsidRPr="00FE6643" w:rsidRDefault="0078510E" w:rsidP="0078510E">
            <w:pPr>
              <w:pStyle w:val="NoSpacing"/>
            </w:pPr>
            <w:r w:rsidRPr="00FE6643">
              <w:t>Shareholders</w:t>
            </w:r>
          </w:p>
        </w:tc>
        <w:tc>
          <w:tcPr>
            <w:tcW w:w="4323" w:type="dxa"/>
          </w:tcPr>
          <w:p w14:paraId="3ACB3253" w14:textId="77777777" w:rsidR="0078510E" w:rsidRPr="00FE6643" w:rsidRDefault="0078510E" w:rsidP="0078510E">
            <w:pPr>
              <w:pStyle w:val="NoSpacing"/>
            </w:pPr>
            <w:r w:rsidRPr="00FE6643">
              <w:t>Profit after Tax (PAT), Revenue</w:t>
            </w:r>
            <w:r>
              <w:t xml:space="preserve"> from export</w:t>
            </w:r>
          </w:p>
        </w:tc>
      </w:tr>
      <w:tr w:rsidR="0078510E" w:rsidRPr="00FE6643" w14:paraId="77E1890E" w14:textId="77777777" w:rsidTr="008E36AA">
        <w:tc>
          <w:tcPr>
            <w:tcW w:w="895" w:type="dxa"/>
          </w:tcPr>
          <w:p w14:paraId="318F9338" w14:textId="77777777" w:rsidR="0078510E" w:rsidRPr="00FE6643" w:rsidRDefault="0078510E" w:rsidP="0078510E">
            <w:pPr>
              <w:pStyle w:val="NoSpacing"/>
              <w:jc w:val="center"/>
            </w:pPr>
            <w:r w:rsidRPr="00FE6643">
              <w:t>02.</w:t>
            </w:r>
          </w:p>
        </w:tc>
        <w:tc>
          <w:tcPr>
            <w:tcW w:w="4230" w:type="dxa"/>
          </w:tcPr>
          <w:p w14:paraId="6C0FA2EF" w14:textId="77777777" w:rsidR="0078510E" w:rsidRPr="00FE6643" w:rsidRDefault="0078510E" w:rsidP="0078510E">
            <w:pPr>
              <w:pStyle w:val="NoSpacing"/>
            </w:pPr>
            <w:r w:rsidRPr="00FE6643">
              <w:t>National Board of Revenue (NBR)</w:t>
            </w:r>
          </w:p>
        </w:tc>
        <w:tc>
          <w:tcPr>
            <w:tcW w:w="4323" w:type="dxa"/>
          </w:tcPr>
          <w:p w14:paraId="2EEA91A1" w14:textId="77777777" w:rsidR="0078510E" w:rsidRPr="00FE6643" w:rsidRDefault="0078510E" w:rsidP="0078510E">
            <w:pPr>
              <w:pStyle w:val="NoSpacing"/>
            </w:pPr>
            <w:r w:rsidRPr="00FE6643">
              <w:t>Profit before Tax (PBT), Revenue</w:t>
            </w:r>
            <w:r>
              <w:t xml:space="preserve"> from export</w:t>
            </w:r>
          </w:p>
        </w:tc>
      </w:tr>
      <w:tr w:rsidR="0078510E" w:rsidRPr="009540FF" w14:paraId="2519A8FD" w14:textId="77777777" w:rsidTr="008E36AA">
        <w:tc>
          <w:tcPr>
            <w:tcW w:w="895" w:type="dxa"/>
          </w:tcPr>
          <w:p w14:paraId="2253C770" w14:textId="77777777" w:rsidR="0078510E" w:rsidRPr="00FE6643" w:rsidRDefault="0078510E" w:rsidP="0078510E">
            <w:pPr>
              <w:pStyle w:val="NoSpacing"/>
              <w:jc w:val="center"/>
            </w:pPr>
            <w:r w:rsidRPr="00FE6643">
              <w:t>03.</w:t>
            </w:r>
          </w:p>
        </w:tc>
        <w:tc>
          <w:tcPr>
            <w:tcW w:w="4230" w:type="dxa"/>
          </w:tcPr>
          <w:p w14:paraId="0316D627" w14:textId="77777777" w:rsidR="0078510E" w:rsidRPr="00FE6643" w:rsidRDefault="0078510E" w:rsidP="0078510E">
            <w:pPr>
              <w:pStyle w:val="NoSpacing"/>
            </w:pPr>
            <w:r w:rsidRPr="00FE6643">
              <w:t>EPZ Authority</w:t>
            </w:r>
          </w:p>
        </w:tc>
        <w:tc>
          <w:tcPr>
            <w:tcW w:w="4323" w:type="dxa"/>
          </w:tcPr>
          <w:p w14:paraId="1E224E11" w14:textId="77777777" w:rsidR="0078510E" w:rsidRPr="00FE6643" w:rsidRDefault="0078510E" w:rsidP="0078510E">
            <w:pPr>
              <w:pStyle w:val="NoSpacing"/>
            </w:pPr>
            <w:r w:rsidRPr="00FE6643">
              <w:t>Revenue</w:t>
            </w:r>
            <w:r>
              <w:t xml:space="preserve"> from export</w:t>
            </w:r>
          </w:p>
        </w:tc>
      </w:tr>
      <w:tr w:rsidR="0078510E" w:rsidRPr="009540FF" w14:paraId="086AE891" w14:textId="77777777" w:rsidTr="008E36AA">
        <w:tc>
          <w:tcPr>
            <w:tcW w:w="895" w:type="dxa"/>
          </w:tcPr>
          <w:p w14:paraId="6474AEFA" w14:textId="77777777" w:rsidR="0078510E" w:rsidRPr="00FE6643" w:rsidRDefault="0078510E" w:rsidP="0078510E">
            <w:pPr>
              <w:pStyle w:val="NoSpacing"/>
              <w:jc w:val="center"/>
            </w:pPr>
            <w:r>
              <w:t>04.</w:t>
            </w:r>
          </w:p>
        </w:tc>
        <w:tc>
          <w:tcPr>
            <w:tcW w:w="4230" w:type="dxa"/>
          </w:tcPr>
          <w:p w14:paraId="6B698815" w14:textId="77777777" w:rsidR="0078510E" w:rsidRPr="00FE6643" w:rsidRDefault="0078510E" w:rsidP="0078510E">
            <w:pPr>
              <w:pStyle w:val="NoSpacing"/>
            </w:pPr>
            <w:r>
              <w:t>Loan provider/Creditor</w:t>
            </w:r>
          </w:p>
        </w:tc>
        <w:tc>
          <w:tcPr>
            <w:tcW w:w="4323" w:type="dxa"/>
          </w:tcPr>
          <w:p w14:paraId="4A96709C" w14:textId="77777777" w:rsidR="0078510E" w:rsidRPr="00FE6643" w:rsidRDefault="0078510E" w:rsidP="0078510E">
            <w:pPr>
              <w:pStyle w:val="NoSpacing"/>
            </w:pPr>
            <w:r>
              <w:t>Financial position</w:t>
            </w:r>
          </w:p>
        </w:tc>
      </w:tr>
    </w:tbl>
    <w:p w14:paraId="0868B8A1" w14:textId="77777777" w:rsidR="0078510E" w:rsidRDefault="0078510E" w:rsidP="008E36AA">
      <w:pPr>
        <w:spacing w:before="240"/>
        <w:jc w:val="both"/>
        <w:rPr>
          <w:rFonts w:cstheme="minorHAnsi"/>
          <w:szCs w:val="20"/>
        </w:rPr>
      </w:pPr>
      <w:r w:rsidRPr="00FE6643">
        <w:rPr>
          <w:rFonts w:cstheme="minorHAnsi"/>
          <w:szCs w:val="20"/>
        </w:rPr>
        <w:t>From our analysis,</w:t>
      </w:r>
      <w:r>
        <w:rPr>
          <w:rFonts w:cstheme="minorHAnsi"/>
          <w:szCs w:val="20"/>
        </w:rPr>
        <w:t xml:space="preserve"> we noted that 99.99% shares of the company are owned by its Parent (EPIC Designer Limited) and the parent company there is the only customer of the products since it is 100% export-oriented company. Shareholders’ </w:t>
      </w:r>
      <w:proofErr w:type="gramStart"/>
      <w:r>
        <w:rPr>
          <w:rFonts w:cstheme="minorHAnsi"/>
          <w:szCs w:val="20"/>
        </w:rPr>
        <w:t>main focus</w:t>
      </w:r>
      <w:proofErr w:type="gramEnd"/>
      <w:r>
        <w:rPr>
          <w:rFonts w:cstheme="minorHAnsi"/>
          <w:szCs w:val="20"/>
        </w:rPr>
        <w:t xml:space="preserve"> point is Profit After Tax amount, out of which, the company </w:t>
      </w:r>
      <w:r>
        <w:rPr>
          <w:rFonts w:cstheme="minorHAnsi"/>
          <w:szCs w:val="20"/>
        </w:rPr>
        <w:lastRenderedPageBreak/>
        <w:t xml:space="preserve">can declare dividend. So, dividend is the main income of the shareholders. Again, this net profit after tax is fully dependent on company’s total revenue. </w:t>
      </w:r>
    </w:p>
    <w:p w14:paraId="347FA393" w14:textId="77777777" w:rsidR="0078510E" w:rsidRDefault="0078510E" w:rsidP="008E36AA">
      <w:pPr>
        <w:spacing w:before="240"/>
        <w:jc w:val="both"/>
        <w:rPr>
          <w:rFonts w:cstheme="minorHAnsi"/>
          <w:szCs w:val="20"/>
        </w:rPr>
      </w:pPr>
      <w:r>
        <w:rPr>
          <w:rFonts w:cstheme="minorHAnsi"/>
          <w:szCs w:val="20"/>
        </w:rPr>
        <w:t xml:space="preserve">From the regulators’ perspective (NBR and EPZ Authority), the </w:t>
      </w:r>
      <w:proofErr w:type="gramStart"/>
      <w:r>
        <w:rPr>
          <w:rFonts w:cstheme="minorHAnsi"/>
          <w:szCs w:val="20"/>
        </w:rPr>
        <w:t>main focus</w:t>
      </w:r>
      <w:proofErr w:type="gramEnd"/>
      <w:r>
        <w:rPr>
          <w:rFonts w:cstheme="minorHAnsi"/>
          <w:szCs w:val="20"/>
        </w:rPr>
        <w:t xml:space="preserve"> point is Profit Before Tax (PBT), on which, the company needs to pay its corporate income tax. Here also profit before tax is dependent on company’s total revenue.</w:t>
      </w:r>
    </w:p>
    <w:p w14:paraId="1FB302E4" w14:textId="77777777" w:rsidR="0078510E" w:rsidRPr="00A10A02" w:rsidRDefault="0078510E" w:rsidP="0078510E">
      <w:pPr>
        <w:spacing w:before="240"/>
        <w:jc w:val="both"/>
        <w:rPr>
          <w:rFonts w:cstheme="minorHAnsi"/>
          <w:szCs w:val="20"/>
        </w:rPr>
      </w:pPr>
      <w:r>
        <w:rPr>
          <w:rFonts w:cstheme="minorHAnsi"/>
          <w:szCs w:val="20"/>
        </w:rPr>
        <w:t xml:space="preserve">We have analysed the company’s profit position before considering this as Benchmark. </w:t>
      </w:r>
      <w:r>
        <w:rPr>
          <w:rFonts w:cstheme="minorHAnsi"/>
        </w:rPr>
        <w:t>Our a</w:t>
      </w:r>
      <w:r w:rsidRPr="00A10A02">
        <w:rPr>
          <w:rFonts w:cstheme="minorHAnsi"/>
        </w:rPr>
        <w:t xml:space="preserve">nalysis </w:t>
      </w:r>
      <w:r>
        <w:rPr>
          <w:rFonts w:cstheme="minorHAnsi"/>
        </w:rPr>
        <w:t xml:space="preserve">of the </w:t>
      </w:r>
      <w:r w:rsidRPr="00A10A02">
        <w:rPr>
          <w:rFonts w:cstheme="minorHAnsi"/>
        </w:rPr>
        <w:t xml:space="preserve">Company’s Profit/(Loss) before tax for the previous years </w:t>
      </w:r>
      <w:r>
        <w:rPr>
          <w:rFonts w:cstheme="minorHAnsi"/>
        </w:rPr>
        <w:t>is</w:t>
      </w:r>
      <w:r w:rsidRPr="00A10A02">
        <w:rPr>
          <w:rFonts w:cstheme="minorHAnsi"/>
        </w:rPr>
        <w:t xml:space="preserve"> given below:</w:t>
      </w:r>
    </w:p>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5"/>
        <w:gridCol w:w="1759"/>
        <w:gridCol w:w="1796"/>
        <w:gridCol w:w="1796"/>
      </w:tblGrid>
      <w:tr w:rsidR="00FD7A18" w:rsidRPr="00816214" w14:paraId="69ADA33A" w14:textId="4F65C591" w:rsidTr="00682E73">
        <w:trPr>
          <w:trHeight w:val="213"/>
        </w:trPr>
        <w:tc>
          <w:tcPr>
            <w:tcW w:w="3815" w:type="dxa"/>
            <w:vMerge w:val="restart"/>
            <w:shd w:val="clear" w:color="auto" w:fill="auto"/>
            <w:vAlign w:val="center"/>
            <w:hideMark/>
          </w:tcPr>
          <w:p w14:paraId="160285B6" w14:textId="77777777" w:rsidR="00FD7A18" w:rsidRPr="00816214" w:rsidRDefault="00FD7A18" w:rsidP="00816214">
            <w:pPr>
              <w:spacing w:after="0" w:line="240" w:lineRule="auto"/>
              <w:rPr>
                <w:rFonts w:ascii="Calibri" w:eastAsia="Times New Roman" w:hAnsi="Calibri" w:cs="Calibri"/>
                <w:b/>
                <w:bCs/>
                <w:color w:val="000000"/>
                <w:lang w:val="en-US"/>
              </w:rPr>
            </w:pPr>
            <w:r w:rsidRPr="00816214">
              <w:rPr>
                <w:rFonts w:ascii="Calibri" w:eastAsia="Times New Roman" w:hAnsi="Calibri" w:cs="Calibri"/>
                <w:b/>
                <w:bCs/>
                <w:color w:val="000000"/>
                <w:lang w:val="en-US"/>
              </w:rPr>
              <w:t>Particulars</w:t>
            </w:r>
          </w:p>
        </w:tc>
        <w:tc>
          <w:tcPr>
            <w:tcW w:w="1759" w:type="dxa"/>
            <w:shd w:val="clear" w:color="auto" w:fill="auto"/>
            <w:vAlign w:val="center"/>
            <w:hideMark/>
          </w:tcPr>
          <w:p w14:paraId="5E75FDE0" w14:textId="6FB90E40" w:rsidR="00FD7A18" w:rsidRPr="00816214" w:rsidRDefault="00FD7A18" w:rsidP="00816214">
            <w:pPr>
              <w:spacing w:after="0" w:line="240" w:lineRule="auto"/>
              <w:jc w:val="right"/>
              <w:rPr>
                <w:rFonts w:ascii="Calibri" w:eastAsia="Times New Roman" w:hAnsi="Calibri" w:cs="Calibri"/>
                <w:b/>
                <w:bCs/>
                <w:color w:val="000000"/>
                <w:lang w:val="en-US"/>
              </w:rPr>
            </w:pPr>
            <w:r w:rsidRPr="00816214">
              <w:rPr>
                <w:rFonts w:ascii="Calibri" w:eastAsia="Times New Roman" w:hAnsi="Calibri" w:cs="Calibri"/>
                <w:b/>
                <w:bCs/>
                <w:color w:val="000000"/>
                <w:lang w:val="en-US"/>
              </w:rPr>
              <w:t>30-Jun-</w:t>
            </w:r>
            <w:r>
              <w:rPr>
                <w:rFonts w:ascii="Calibri" w:eastAsia="Times New Roman" w:hAnsi="Calibri" w:cs="Calibri"/>
                <w:b/>
                <w:bCs/>
                <w:color w:val="000000"/>
                <w:lang w:val="en-US"/>
              </w:rPr>
              <w:t>20</w:t>
            </w:r>
            <w:r w:rsidRPr="00816214">
              <w:rPr>
                <w:rFonts w:ascii="Calibri" w:eastAsia="Times New Roman" w:hAnsi="Calibri" w:cs="Calibri"/>
                <w:b/>
                <w:bCs/>
                <w:color w:val="000000"/>
                <w:lang w:val="en-US"/>
              </w:rPr>
              <w:t>20</w:t>
            </w:r>
          </w:p>
        </w:tc>
        <w:tc>
          <w:tcPr>
            <w:tcW w:w="1796" w:type="dxa"/>
            <w:shd w:val="clear" w:color="auto" w:fill="auto"/>
            <w:vAlign w:val="center"/>
            <w:hideMark/>
          </w:tcPr>
          <w:p w14:paraId="6F995DBA" w14:textId="140927CA" w:rsidR="00FD7A18" w:rsidRPr="00816214" w:rsidRDefault="00FD7A18" w:rsidP="00816214">
            <w:pPr>
              <w:spacing w:after="0" w:line="240" w:lineRule="auto"/>
              <w:jc w:val="right"/>
              <w:rPr>
                <w:rFonts w:ascii="Calibri" w:eastAsia="Times New Roman" w:hAnsi="Calibri" w:cs="Calibri"/>
                <w:b/>
                <w:bCs/>
                <w:color w:val="000000"/>
                <w:lang w:val="en-US"/>
              </w:rPr>
            </w:pPr>
            <w:r w:rsidRPr="00816214">
              <w:rPr>
                <w:rFonts w:ascii="Calibri" w:eastAsia="Times New Roman" w:hAnsi="Calibri" w:cs="Calibri"/>
                <w:b/>
                <w:bCs/>
                <w:color w:val="000000"/>
                <w:lang w:val="en-US"/>
              </w:rPr>
              <w:t>30-Jun-</w:t>
            </w:r>
            <w:r>
              <w:rPr>
                <w:rFonts w:ascii="Calibri" w:eastAsia="Times New Roman" w:hAnsi="Calibri" w:cs="Calibri"/>
                <w:b/>
                <w:bCs/>
                <w:color w:val="000000"/>
                <w:lang w:val="en-US"/>
              </w:rPr>
              <w:t>20</w:t>
            </w:r>
            <w:r w:rsidRPr="00816214">
              <w:rPr>
                <w:rFonts w:ascii="Calibri" w:eastAsia="Times New Roman" w:hAnsi="Calibri" w:cs="Calibri"/>
                <w:b/>
                <w:bCs/>
                <w:color w:val="000000"/>
                <w:lang w:val="en-US"/>
              </w:rPr>
              <w:t>21</w:t>
            </w:r>
          </w:p>
        </w:tc>
        <w:tc>
          <w:tcPr>
            <w:tcW w:w="1796" w:type="dxa"/>
          </w:tcPr>
          <w:p w14:paraId="0E591CFA" w14:textId="7A0173EB" w:rsidR="00FD7A18" w:rsidRPr="00816214" w:rsidRDefault="00FD7A18" w:rsidP="00816214">
            <w:pPr>
              <w:spacing w:after="0" w:line="240" w:lineRule="auto"/>
              <w:jc w:val="right"/>
              <w:rPr>
                <w:rFonts w:ascii="Calibri" w:eastAsia="Times New Roman" w:hAnsi="Calibri" w:cs="Calibri"/>
                <w:b/>
                <w:bCs/>
                <w:color w:val="000000"/>
                <w:lang w:val="en-US"/>
              </w:rPr>
            </w:pPr>
            <w:r w:rsidRPr="00816214">
              <w:rPr>
                <w:rFonts w:ascii="Calibri" w:eastAsia="Times New Roman" w:hAnsi="Calibri" w:cs="Calibri"/>
                <w:b/>
                <w:bCs/>
                <w:color w:val="000000"/>
                <w:lang w:val="en-US"/>
              </w:rPr>
              <w:t>30-Jun-</w:t>
            </w:r>
            <w:r>
              <w:rPr>
                <w:rFonts w:ascii="Calibri" w:eastAsia="Times New Roman" w:hAnsi="Calibri" w:cs="Calibri"/>
                <w:b/>
                <w:bCs/>
                <w:color w:val="000000"/>
                <w:lang w:val="en-US"/>
              </w:rPr>
              <w:t>20</w:t>
            </w:r>
            <w:r w:rsidRPr="00816214">
              <w:rPr>
                <w:rFonts w:ascii="Calibri" w:eastAsia="Times New Roman" w:hAnsi="Calibri" w:cs="Calibri"/>
                <w:b/>
                <w:bCs/>
                <w:color w:val="000000"/>
                <w:lang w:val="en-US"/>
              </w:rPr>
              <w:t>2</w:t>
            </w:r>
            <w:r>
              <w:rPr>
                <w:rFonts w:ascii="Calibri" w:eastAsia="Times New Roman" w:hAnsi="Calibri" w:cs="Calibri"/>
                <w:b/>
                <w:bCs/>
                <w:color w:val="000000"/>
                <w:lang w:val="en-US"/>
              </w:rPr>
              <w:t>2</w:t>
            </w:r>
          </w:p>
        </w:tc>
      </w:tr>
      <w:tr w:rsidR="00FD7A18" w:rsidRPr="00816214" w14:paraId="307764D2" w14:textId="0BB9595F" w:rsidTr="00682E73">
        <w:trPr>
          <w:trHeight w:val="213"/>
        </w:trPr>
        <w:tc>
          <w:tcPr>
            <w:tcW w:w="3815" w:type="dxa"/>
            <w:vMerge/>
            <w:vAlign w:val="center"/>
            <w:hideMark/>
          </w:tcPr>
          <w:p w14:paraId="455BCF3F" w14:textId="77777777" w:rsidR="00FD7A18" w:rsidRPr="00816214" w:rsidRDefault="00FD7A18" w:rsidP="00816214">
            <w:pPr>
              <w:spacing w:after="0" w:line="240" w:lineRule="auto"/>
              <w:rPr>
                <w:rFonts w:ascii="Calibri" w:eastAsia="Times New Roman" w:hAnsi="Calibri" w:cs="Calibri"/>
                <w:b/>
                <w:bCs/>
                <w:color w:val="000000"/>
                <w:lang w:val="en-US"/>
              </w:rPr>
            </w:pPr>
          </w:p>
        </w:tc>
        <w:tc>
          <w:tcPr>
            <w:tcW w:w="1759" w:type="dxa"/>
            <w:shd w:val="clear" w:color="auto" w:fill="auto"/>
            <w:vAlign w:val="center"/>
            <w:hideMark/>
          </w:tcPr>
          <w:p w14:paraId="6A90D151" w14:textId="4C20AAC3" w:rsidR="00FD7A18" w:rsidRPr="00816214" w:rsidRDefault="00FD7A18" w:rsidP="00816214">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themeColor="text1"/>
                <w:lang w:val="en-US"/>
              </w:rPr>
              <w:t>USD</w:t>
            </w:r>
          </w:p>
        </w:tc>
        <w:tc>
          <w:tcPr>
            <w:tcW w:w="1796" w:type="dxa"/>
            <w:shd w:val="clear" w:color="auto" w:fill="auto"/>
            <w:vAlign w:val="center"/>
            <w:hideMark/>
          </w:tcPr>
          <w:p w14:paraId="50BAFC8C" w14:textId="0A4C55A4" w:rsidR="00FD7A18" w:rsidRPr="00816214" w:rsidRDefault="00FD7A18" w:rsidP="2719D440">
            <w:pPr>
              <w:spacing w:after="0" w:line="240" w:lineRule="auto"/>
              <w:jc w:val="center"/>
              <w:rPr>
                <w:rFonts w:ascii="Calibri" w:eastAsia="Times New Roman" w:hAnsi="Calibri" w:cs="Calibri"/>
                <w:b/>
                <w:bCs/>
                <w:color w:val="000000" w:themeColor="text1"/>
                <w:lang w:val="en-US"/>
              </w:rPr>
            </w:pPr>
            <w:r>
              <w:rPr>
                <w:rFonts w:ascii="Calibri" w:eastAsia="Times New Roman" w:hAnsi="Calibri" w:cs="Calibri"/>
                <w:b/>
                <w:bCs/>
                <w:color w:val="000000" w:themeColor="text1"/>
                <w:lang w:val="en-US"/>
              </w:rPr>
              <w:t>USD</w:t>
            </w:r>
          </w:p>
        </w:tc>
        <w:tc>
          <w:tcPr>
            <w:tcW w:w="1796" w:type="dxa"/>
          </w:tcPr>
          <w:p w14:paraId="60A64DFA" w14:textId="2B4B6DA6" w:rsidR="00FD7A18" w:rsidRPr="00816214" w:rsidRDefault="00FD7A18" w:rsidP="2719D440">
            <w:pPr>
              <w:spacing w:after="0" w:line="240" w:lineRule="auto"/>
              <w:jc w:val="center"/>
              <w:rPr>
                <w:rFonts w:ascii="Calibri" w:eastAsia="Times New Roman" w:hAnsi="Calibri" w:cs="Calibri"/>
                <w:b/>
                <w:bCs/>
                <w:color w:val="000000" w:themeColor="text1"/>
                <w:lang w:val="en-US"/>
              </w:rPr>
            </w:pPr>
            <w:r>
              <w:rPr>
                <w:rFonts w:ascii="Calibri" w:eastAsia="Times New Roman" w:hAnsi="Calibri" w:cs="Calibri"/>
                <w:b/>
                <w:bCs/>
                <w:color w:val="000000" w:themeColor="text1"/>
                <w:lang w:val="en-US"/>
              </w:rPr>
              <w:t>USD</w:t>
            </w:r>
          </w:p>
        </w:tc>
      </w:tr>
      <w:tr w:rsidR="00FD7A18" w:rsidRPr="00816214" w14:paraId="38813239" w14:textId="670A6010" w:rsidTr="00682E73">
        <w:trPr>
          <w:trHeight w:val="832"/>
        </w:trPr>
        <w:tc>
          <w:tcPr>
            <w:tcW w:w="3815" w:type="dxa"/>
            <w:shd w:val="clear" w:color="auto" w:fill="auto"/>
            <w:vAlign w:val="center"/>
            <w:hideMark/>
          </w:tcPr>
          <w:p w14:paraId="6F639D95" w14:textId="77777777" w:rsidR="00FD7A18" w:rsidRPr="00816214" w:rsidRDefault="00FD7A18" w:rsidP="00D7442D">
            <w:pPr>
              <w:spacing w:after="0" w:line="240" w:lineRule="auto"/>
              <w:rPr>
                <w:rFonts w:ascii="Calibri" w:eastAsia="Times New Roman" w:hAnsi="Calibri" w:cs="Calibri"/>
                <w:color w:val="000000"/>
                <w:lang w:val="en-US"/>
              </w:rPr>
            </w:pPr>
            <w:r w:rsidRPr="00816214">
              <w:rPr>
                <w:rFonts w:ascii="Calibri" w:eastAsia="Times New Roman" w:hAnsi="Calibri" w:cs="Calibri"/>
                <w:color w:val="000000"/>
                <w:lang w:val="en-US"/>
              </w:rPr>
              <w:t xml:space="preserve">Profit/(Loss) before tax </w:t>
            </w:r>
          </w:p>
        </w:tc>
        <w:tc>
          <w:tcPr>
            <w:tcW w:w="1759" w:type="dxa"/>
            <w:shd w:val="clear" w:color="auto" w:fill="auto"/>
            <w:vAlign w:val="center"/>
            <w:hideMark/>
          </w:tcPr>
          <w:p w14:paraId="5E208B21" w14:textId="4FEADE31" w:rsidR="00FD7A18" w:rsidRPr="00816214" w:rsidRDefault="00FD7A18" w:rsidP="009C4118">
            <w:pPr>
              <w:spacing w:after="0" w:line="240" w:lineRule="auto"/>
              <w:jc w:val="center"/>
              <w:rPr>
                <w:rFonts w:ascii="Calibri" w:eastAsia="Times New Roman" w:hAnsi="Calibri" w:cs="Calibri"/>
                <w:color w:val="FF0000"/>
                <w:lang w:val="en-US"/>
              </w:rPr>
            </w:pPr>
            <w:r w:rsidRPr="00F844F0">
              <w:rPr>
                <w:rFonts w:ascii="Calibri" w:eastAsia="Times New Roman" w:hAnsi="Calibri" w:cs="Calibri"/>
                <w:lang w:val="en-US"/>
              </w:rPr>
              <w:t>-1,196,812</w:t>
            </w:r>
          </w:p>
        </w:tc>
        <w:tc>
          <w:tcPr>
            <w:tcW w:w="1796" w:type="dxa"/>
            <w:shd w:val="clear" w:color="auto" w:fill="auto"/>
            <w:vAlign w:val="center"/>
            <w:hideMark/>
          </w:tcPr>
          <w:p w14:paraId="21864E93" w14:textId="328EA26B" w:rsidR="00FD7A18" w:rsidRPr="00816214" w:rsidRDefault="00FD7A18" w:rsidP="009C4118">
            <w:pPr>
              <w:spacing w:after="0" w:line="240" w:lineRule="auto"/>
              <w:jc w:val="center"/>
              <w:rPr>
                <w:rFonts w:ascii="Calibri" w:eastAsia="Times New Roman" w:hAnsi="Calibri" w:cs="Calibri"/>
                <w:color w:val="000000"/>
                <w:lang w:val="en-US"/>
              </w:rPr>
            </w:pPr>
            <w:r w:rsidRPr="00F844F0">
              <w:t>-3</w:t>
            </w:r>
            <w:r w:rsidRPr="00F844F0">
              <w:t>,</w:t>
            </w:r>
            <w:r w:rsidRPr="00F844F0">
              <w:t>366</w:t>
            </w:r>
            <w:r w:rsidRPr="00F844F0">
              <w:t>,</w:t>
            </w:r>
            <w:r w:rsidRPr="00F844F0">
              <w:t>152</w:t>
            </w:r>
          </w:p>
        </w:tc>
        <w:tc>
          <w:tcPr>
            <w:tcW w:w="1796" w:type="dxa"/>
            <w:vAlign w:val="center"/>
          </w:tcPr>
          <w:p w14:paraId="14142367" w14:textId="59AB8B2D" w:rsidR="00FD7A18" w:rsidRPr="00416931" w:rsidRDefault="00FD7A18" w:rsidP="009C4118">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255,390</w:t>
            </w:r>
          </w:p>
        </w:tc>
      </w:tr>
    </w:tbl>
    <w:p w14:paraId="3065442C" w14:textId="77777777" w:rsidR="0078510E" w:rsidRDefault="0078510E" w:rsidP="0078510E">
      <w:pPr>
        <w:spacing w:before="240"/>
        <w:jc w:val="both"/>
        <w:rPr>
          <w:rFonts w:cstheme="minorHAnsi"/>
        </w:rPr>
      </w:pPr>
      <w:bookmarkStart w:id="0" w:name="_Hlk74563189"/>
      <w:r>
        <w:rPr>
          <w:rFonts w:cstheme="minorHAnsi"/>
        </w:rPr>
        <w:t>From our above analysis over the profit position, it is clearly understood that the company’s profit position is not stable and hence, we should not consider this amount as Benchmark for determining audit materiality.</w:t>
      </w:r>
    </w:p>
    <w:p w14:paraId="7D63174B" w14:textId="6AD5BFAB" w:rsidR="00212D51" w:rsidRPr="0071273F" w:rsidRDefault="0078510E" w:rsidP="0078510E">
      <w:pPr>
        <w:spacing w:before="240"/>
        <w:jc w:val="both"/>
        <w:rPr>
          <w:rFonts w:cstheme="minorHAnsi"/>
          <w:color w:val="000000" w:themeColor="text1"/>
        </w:rPr>
      </w:pPr>
      <w:r>
        <w:rPr>
          <w:rFonts w:cstheme="minorHAnsi"/>
        </w:rPr>
        <w:t>Now, we can also analyse the company’s revenues for the last few years, and these are shown as follows</w:t>
      </w:r>
      <w:r w:rsidR="00212D51" w:rsidRPr="0071273F">
        <w:rPr>
          <w:rFonts w:cstheme="minorHAnsi"/>
          <w:color w:val="000000" w:themeColor="text1"/>
        </w:rPr>
        <w:t>:</w:t>
      </w:r>
    </w:p>
    <w:tbl>
      <w:tblPr>
        <w:tblStyle w:val="TableGrid"/>
        <w:tblW w:w="9168" w:type="dxa"/>
        <w:tblLook w:val="04A0" w:firstRow="1" w:lastRow="0" w:firstColumn="1" w:lastColumn="0" w:noHBand="0" w:noVBand="1"/>
      </w:tblPr>
      <w:tblGrid>
        <w:gridCol w:w="2477"/>
        <w:gridCol w:w="1910"/>
        <w:gridCol w:w="2130"/>
        <w:gridCol w:w="2651"/>
      </w:tblGrid>
      <w:tr w:rsidR="00503E43" w:rsidRPr="0071273F" w14:paraId="6772D6C5" w14:textId="3EBB5BEE" w:rsidTr="00912398">
        <w:trPr>
          <w:trHeight w:val="544"/>
        </w:trPr>
        <w:tc>
          <w:tcPr>
            <w:tcW w:w="2477" w:type="dxa"/>
            <w:vMerge w:val="restart"/>
            <w:vAlign w:val="center"/>
          </w:tcPr>
          <w:p w14:paraId="338E857E" w14:textId="77777777" w:rsidR="00503E43" w:rsidRPr="0071273F" w:rsidRDefault="00503E43" w:rsidP="00C73900">
            <w:pPr>
              <w:pStyle w:val="NoSpacing"/>
              <w:jc w:val="center"/>
              <w:rPr>
                <w:b/>
                <w:bCs/>
                <w:color w:val="000000" w:themeColor="text1"/>
              </w:rPr>
            </w:pPr>
            <w:r w:rsidRPr="0071273F">
              <w:rPr>
                <w:b/>
                <w:bCs/>
                <w:color w:val="000000" w:themeColor="text1"/>
              </w:rPr>
              <w:t>Particulars</w:t>
            </w:r>
          </w:p>
        </w:tc>
        <w:tc>
          <w:tcPr>
            <w:tcW w:w="1910" w:type="dxa"/>
            <w:vAlign w:val="center"/>
          </w:tcPr>
          <w:p w14:paraId="7169F7F4" w14:textId="77777777" w:rsidR="00503E43" w:rsidRPr="0071273F" w:rsidRDefault="00503E43" w:rsidP="00C73900">
            <w:pPr>
              <w:pStyle w:val="NoSpacing"/>
              <w:jc w:val="center"/>
              <w:rPr>
                <w:b/>
                <w:bCs/>
                <w:color w:val="000000" w:themeColor="text1"/>
              </w:rPr>
            </w:pPr>
            <w:r w:rsidRPr="0071273F">
              <w:rPr>
                <w:b/>
                <w:bCs/>
                <w:color w:val="000000" w:themeColor="text1"/>
              </w:rPr>
              <w:t>30 June 2020</w:t>
            </w:r>
          </w:p>
        </w:tc>
        <w:tc>
          <w:tcPr>
            <w:tcW w:w="2130" w:type="dxa"/>
            <w:vAlign w:val="center"/>
          </w:tcPr>
          <w:p w14:paraId="095A476D" w14:textId="5993C714" w:rsidR="00503E43" w:rsidRPr="0071273F" w:rsidRDefault="00503E43" w:rsidP="00C73900">
            <w:pPr>
              <w:pStyle w:val="NoSpacing"/>
              <w:jc w:val="center"/>
              <w:rPr>
                <w:b/>
                <w:bCs/>
                <w:color w:val="000000" w:themeColor="text1"/>
              </w:rPr>
            </w:pPr>
            <w:r w:rsidRPr="0071273F">
              <w:rPr>
                <w:b/>
                <w:bCs/>
                <w:color w:val="000000" w:themeColor="text1"/>
              </w:rPr>
              <w:t xml:space="preserve">30 June 2021 </w:t>
            </w:r>
          </w:p>
        </w:tc>
        <w:tc>
          <w:tcPr>
            <w:tcW w:w="2651" w:type="dxa"/>
            <w:vAlign w:val="center"/>
          </w:tcPr>
          <w:p w14:paraId="1D971278" w14:textId="5C42A247" w:rsidR="00503E43" w:rsidRPr="0071273F" w:rsidRDefault="00503E43" w:rsidP="00C73900">
            <w:pPr>
              <w:pStyle w:val="NoSpacing"/>
              <w:jc w:val="center"/>
              <w:rPr>
                <w:b/>
                <w:bCs/>
                <w:color w:val="000000" w:themeColor="text1"/>
              </w:rPr>
            </w:pPr>
            <w:r w:rsidRPr="0071273F">
              <w:rPr>
                <w:b/>
                <w:bCs/>
                <w:color w:val="000000" w:themeColor="text1"/>
              </w:rPr>
              <w:t>30 June 202</w:t>
            </w:r>
            <w:r>
              <w:rPr>
                <w:b/>
                <w:bCs/>
                <w:color w:val="000000" w:themeColor="text1"/>
              </w:rPr>
              <w:t>2</w:t>
            </w:r>
          </w:p>
        </w:tc>
      </w:tr>
      <w:tr w:rsidR="00503E43" w:rsidRPr="0071273F" w14:paraId="332333AA" w14:textId="29882C67" w:rsidTr="00912398">
        <w:trPr>
          <w:trHeight w:val="259"/>
        </w:trPr>
        <w:tc>
          <w:tcPr>
            <w:tcW w:w="2477" w:type="dxa"/>
            <w:vMerge/>
            <w:vAlign w:val="center"/>
          </w:tcPr>
          <w:p w14:paraId="3BA629EB" w14:textId="77777777" w:rsidR="00503E43" w:rsidRPr="0071273F" w:rsidRDefault="00503E43" w:rsidP="00C73900">
            <w:pPr>
              <w:pStyle w:val="NoSpacing"/>
              <w:jc w:val="center"/>
              <w:rPr>
                <w:b/>
                <w:bCs/>
                <w:color w:val="000000" w:themeColor="text1"/>
              </w:rPr>
            </w:pPr>
          </w:p>
        </w:tc>
        <w:tc>
          <w:tcPr>
            <w:tcW w:w="1910" w:type="dxa"/>
            <w:vAlign w:val="center"/>
          </w:tcPr>
          <w:p w14:paraId="0AE5607F" w14:textId="6781A612" w:rsidR="00503E43" w:rsidRPr="0071273F" w:rsidRDefault="00503E43" w:rsidP="2719D440">
            <w:pPr>
              <w:pStyle w:val="NoSpacing"/>
              <w:jc w:val="center"/>
              <w:rPr>
                <w:b/>
                <w:bCs/>
                <w:color w:val="000000" w:themeColor="text1"/>
              </w:rPr>
            </w:pPr>
            <w:r>
              <w:rPr>
                <w:b/>
                <w:bCs/>
                <w:color w:val="000000" w:themeColor="text1"/>
              </w:rPr>
              <w:t>USD</w:t>
            </w:r>
          </w:p>
        </w:tc>
        <w:tc>
          <w:tcPr>
            <w:tcW w:w="2130" w:type="dxa"/>
            <w:vAlign w:val="center"/>
          </w:tcPr>
          <w:p w14:paraId="1CB3A73B" w14:textId="69E1A752" w:rsidR="00503E43" w:rsidRPr="0071273F" w:rsidRDefault="00503E43" w:rsidP="2719D440">
            <w:pPr>
              <w:pStyle w:val="NoSpacing"/>
              <w:jc w:val="center"/>
              <w:rPr>
                <w:b/>
                <w:bCs/>
                <w:color w:val="000000" w:themeColor="text1"/>
              </w:rPr>
            </w:pPr>
            <w:r>
              <w:rPr>
                <w:b/>
                <w:bCs/>
                <w:color w:val="000000" w:themeColor="text1"/>
              </w:rPr>
              <w:t>USD</w:t>
            </w:r>
          </w:p>
        </w:tc>
        <w:tc>
          <w:tcPr>
            <w:tcW w:w="2651" w:type="dxa"/>
            <w:vAlign w:val="center"/>
          </w:tcPr>
          <w:p w14:paraId="39B3A40F" w14:textId="3B0C9EAA" w:rsidR="00503E43" w:rsidRPr="0071273F" w:rsidRDefault="00503E43" w:rsidP="2719D440">
            <w:pPr>
              <w:pStyle w:val="NoSpacing"/>
              <w:jc w:val="center"/>
              <w:rPr>
                <w:b/>
                <w:bCs/>
                <w:color w:val="000000" w:themeColor="text1"/>
              </w:rPr>
            </w:pPr>
            <w:r>
              <w:rPr>
                <w:b/>
                <w:bCs/>
                <w:color w:val="000000" w:themeColor="text1"/>
              </w:rPr>
              <w:t>USD</w:t>
            </w:r>
          </w:p>
        </w:tc>
      </w:tr>
      <w:tr w:rsidR="00503E43" w:rsidRPr="0071273F" w14:paraId="3D3E5195" w14:textId="1CCB26FB" w:rsidTr="00912398">
        <w:trPr>
          <w:trHeight w:val="490"/>
        </w:trPr>
        <w:tc>
          <w:tcPr>
            <w:tcW w:w="2477" w:type="dxa"/>
            <w:vAlign w:val="center"/>
          </w:tcPr>
          <w:p w14:paraId="07AF175F" w14:textId="0E62ACB1" w:rsidR="00503E43" w:rsidRPr="00B16BEC" w:rsidRDefault="00503E43" w:rsidP="00C73900">
            <w:pPr>
              <w:pStyle w:val="NoSpacing"/>
              <w:jc w:val="center"/>
              <w:rPr>
                <w:color w:val="000000" w:themeColor="text1"/>
              </w:rPr>
            </w:pPr>
            <w:r w:rsidRPr="00B16BEC">
              <w:rPr>
                <w:color w:val="000000" w:themeColor="text1"/>
              </w:rPr>
              <w:t>Revenue from export</w:t>
            </w:r>
          </w:p>
        </w:tc>
        <w:tc>
          <w:tcPr>
            <w:tcW w:w="1910" w:type="dxa"/>
            <w:vAlign w:val="center"/>
          </w:tcPr>
          <w:p w14:paraId="7B53092E" w14:textId="11BEFE78" w:rsidR="00503E43" w:rsidRPr="00886116" w:rsidRDefault="00886116" w:rsidP="00912398">
            <w:pPr>
              <w:jc w:val="center"/>
              <w:rPr>
                <w:rFonts w:ascii="Calibri" w:hAnsi="Calibri" w:cs="Calibri"/>
              </w:rPr>
            </w:pPr>
            <w:r>
              <w:rPr>
                <w:rFonts w:ascii="Calibri" w:hAnsi="Calibri" w:cs="Calibri"/>
              </w:rPr>
              <w:t>71,628,270</w:t>
            </w:r>
          </w:p>
        </w:tc>
        <w:tc>
          <w:tcPr>
            <w:tcW w:w="2130" w:type="dxa"/>
            <w:vAlign w:val="center"/>
          </w:tcPr>
          <w:p w14:paraId="3B942438" w14:textId="67350241" w:rsidR="00503E43" w:rsidRPr="00886116" w:rsidRDefault="00886116" w:rsidP="00912398">
            <w:pPr>
              <w:jc w:val="center"/>
              <w:rPr>
                <w:rFonts w:ascii="Calibri" w:hAnsi="Calibri" w:cs="Calibri"/>
              </w:rPr>
            </w:pPr>
            <w:r>
              <w:rPr>
                <w:rFonts w:ascii="Calibri" w:hAnsi="Calibri" w:cs="Calibri"/>
              </w:rPr>
              <w:t>63,313,374</w:t>
            </w:r>
          </w:p>
        </w:tc>
        <w:tc>
          <w:tcPr>
            <w:tcW w:w="2651" w:type="dxa"/>
            <w:vAlign w:val="center"/>
          </w:tcPr>
          <w:p w14:paraId="767B2C49" w14:textId="7A2E0EC3" w:rsidR="00503E43" w:rsidRPr="00B921C4" w:rsidRDefault="008058C8" w:rsidP="00912398">
            <w:pPr>
              <w:jc w:val="center"/>
              <w:rPr>
                <w:rFonts w:ascii="Open Sans" w:hAnsi="Open Sans" w:cs="Open Sans"/>
                <w:sz w:val="20"/>
                <w:szCs w:val="20"/>
              </w:rPr>
            </w:pPr>
            <w:r>
              <w:rPr>
                <w:rFonts w:ascii="Open Sans" w:hAnsi="Open Sans" w:cs="Open Sans"/>
                <w:sz w:val="20"/>
                <w:szCs w:val="20"/>
              </w:rPr>
              <w:t>86,826,344</w:t>
            </w:r>
          </w:p>
        </w:tc>
      </w:tr>
    </w:tbl>
    <w:bookmarkEnd w:id="0"/>
    <w:p w14:paraId="57AD76E1" w14:textId="50ED99B3" w:rsidR="0078510E" w:rsidRDefault="0078510E" w:rsidP="0078510E">
      <w:pPr>
        <w:spacing w:before="240"/>
        <w:jc w:val="both"/>
        <w:rPr>
          <w:rFonts w:cstheme="minorHAnsi"/>
        </w:rPr>
      </w:pPr>
      <w:r>
        <w:rPr>
          <w:rFonts w:cstheme="minorHAnsi"/>
        </w:rPr>
        <w:t>F</w:t>
      </w:r>
      <w:r w:rsidRPr="00FE6643">
        <w:rPr>
          <w:rFonts w:cstheme="minorHAnsi"/>
        </w:rPr>
        <w:t xml:space="preserve">rom the above </w:t>
      </w:r>
      <w:r w:rsidR="00D10817" w:rsidRPr="00FE6643">
        <w:rPr>
          <w:rFonts w:cstheme="minorHAnsi"/>
        </w:rPr>
        <w:t>table,</w:t>
      </w:r>
      <w:r w:rsidRPr="00FE6643">
        <w:rPr>
          <w:rFonts w:cstheme="minorHAnsi"/>
        </w:rPr>
        <w:t xml:space="preserve"> we can see that </w:t>
      </w:r>
      <w:r>
        <w:rPr>
          <w:rFonts w:cstheme="minorHAnsi"/>
        </w:rPr>
        <w:t xml:space="preserve">the </w:t>
      </w:r>
      <w:r w:rsidRPr="00FE6643">
        <w:rPr>
          <w:rFonts w:cstheme="minorHAnsi"/>
        </w:rPr>
        <w:t xml:space="preserve">company’s </w:t>
      </w:r>
      <w:r w:rsidR="00800C86">
        <w:rPr>
          <w:rFonts w:cstheme="minorHAnsi"/>
        </w:rPr>
        <w:t xml:space="preserve">revenue figures have been </w:t>
      </w:r>
      <w:r w:rsidR="00646E75">
        <w:rPr>
          <w:rFonts w:cstheme="minorHAnsi"/>
        </w:rPr>
        <w:t>fluctuating in a small range</w:t>
      </w:r>
      <w:r w:rsidR="00C73900">
        <w:rPr>
          <w:rFonts w:cstheme="minorHAnsi"/>
        </w:rPr>
        <w:t>,</w:t>
      </w:r>
      <w:r>
        <w:rPr>
          <w:rFonts w:cstheme="minorHAnsi"/>
        </w:rPr>
        <w:t xml:space="preserve"> and it is more rational to be considered as Benchmark compared to the company’s unstable profit situation. </w:t>
      </w:r>
      <w:r w:rsidRPr="00FE6643">
        <w:rPr>
          <w:rFonts w:cstheme="minorHAnsi"/>
        </w:rPr>
        <w:t xml:space="preserve">Hence, we have considered </w:t>
      </w:r>
      <w:r>
        <w:rPr>
          <w:rFonts w:cstheme="minorHAnsi"/>
        </w:rPr>
        <w:t xml:space="preserve">revenue </w:t>
      </w:r>
      <w:r w:rsidRPr="00FE6643">
        <w:rPr>
          <w:rFonts w:cstheme="minorHAnsi"/>
        </w:rPr>
        <w:t xml:space="preserve">should be the most relevant benchmark to </w:t>
      </w:r>
      <w:r>
        <w:rPr>
          <w:rFonts w:cstheme="minorHAnsi"/>
        </w:rPr>
        <w:t xml:space="preserve">determine the </w:t>
      </w:r>
      <w:r w:rsidRPr="00FE6643">
        <w:rPr>
          <w:rFonts w:cstheme="minorHAnsi"/>
        </w:rPr>
        <w:t>materiality level.</w:t>
      </w:r>
      <w:r w:rsidRPr="00B1096E">
        <w:rPr>
          <w:rFonts w:cstheme="minorHAnsi"/>
        </w:rPr>
        <w:t xml:space="preserve"> </w:t>
      </w:r>
    </w:p>
    <w:p w14:paraId="34B67948" w14:textId="1D25E248" w:rsidR="0078510E" w:rsidRPr="00876DDA" w:rsidRDefault="0078510E" w:rsidP="0078510E">
      <w:pPr>
        <w:spacing w:before="240"/>
        <w:jc w:val="both"/>
        <w:rPr>
          <w:rFonts w:cstheme="minorHAnsi"/>
          <w:b/>
        </w:rPr>
      </w:pPr>
      <w:r w:rsidRPr="00ED3A46">
        <w:rPr>
          <w:rFonts w:cstheme="minorHAnsi"/>
        </w:rPr>
        <w:t>From the Loan provider/</w:t>
      </w:r>
      <w:r w:rsidR="00BC6603">
        <w:rPr>
          <w:rFonts w:cstheme="minorHAnsi"/>
        </w:rPr>
        <w:t>c</w:t>
      </w:r>
      <w:r w:rsidRPr="00ED3A46">
        <w:rPr>
          <w:rFonts w:cstheme="minorHAnsi"/>
        </w:rPr>
        <w:t xml:space="preserve">reditor’s perspective, company’s financial position is the </w:t>
      </w:r>
      <w:r w:rsidR="00C73900" w:rsidRPr="00ED3A46">
        <w:rPr>
          <w:rFonts w:cstheme="minorHAnsi"/>
        </w:rPr>
        <w:t>focus</w:t>
      </w:r>
      <w:r w:rsidRPr="00ED3A46">
        <w:rPr>
          <w:rFonts w:cstheme="minorHAnsi"/>
        </w:rPr>
        <w:t xml:space="preserve"> area. Since the company’s loan position/ creditors’ balances are not so significant, we have not considered </w:t>
      </w:r>
      <w:r>
        <w:rPr>
          <w:rFonts w:cstheme="minorHAnsi"/>
        </w:rPr>
        <w:t xml:space="preserve">that </w:t>
      </w:r>
      <w:r w:rsidRPr="00ED3A46">
        <w:rPr>
          <w:rFonts w:cstheme="minorHAnsi"/>
        </w:rPr>
        <w:t>financial position of the company should be the Benchmark.</w:t>
      </w:r>
    </w:p>
    <w:p w14:paraId="575791BA" w14:textId="1EF556FC" w:rsidR="0078510E" w:rsidRPr="00B1096E" w:rsidRDefault="0078510E" w:rsidP="0078510E">
      <w:pPr>
        <w:spacing w:before="240"/>
        <w:jc w:val="both"/>
        <w:rPr>
          <w:rFonts w:cstheme="minorHAnsi"/>
        </w:rPr>
      </w:pPr>
      <w:r w:rsidRPr="00B1096E">
        <w:rPr>
          <w:rFonts w:cstheme="minorHAnsi"/>
        </w:rPr>
        <w:t xml:space="preserve">Now, the second consideration is that how much percentage will be considered. Per Section 2.3: Determination of Percentages Applied to Benchmarks for materiality, it is recommended to set the range from 0.8% to 2%. </w:t>
      </w:r>
      <w:r w:rsidRPr="00154A75">
        <w:rPr>
          <w:rFonts w:cstheme="minorHAnsi"/>
        </w:rPr>
        <w:t>A</w:t>
      </w:r>
      <w:r w:rsidR="00BC6603">
        <w:rPr>
          <w:rFonts w:cstheme="minorHAnsi"/>
        </w:rPr>
        <w:t>s</w:t>
      </w:r>
      <w:r w:rsidRPr="00154A75">
        <w:rPr>
          <w:rFonts w:cstheme="minorHAnsi"/>
        </w:rPr>
        <w:t xml:space="preserve"> this is our </w:t>
      </w:r>
      <w:r w:rsidR="00BC6603">
        <w:rPr>
          <w:rFonts w:cstheme="minorHAnsi"/>
        </w:rPr>
        <w:t>third</w:t>
      </w:r>
      <w:r w:rsidRPr="00154A75">
        <w:rPr>
          <w:rFonts w:cstheme="minorHAnsi"/>
        </w:rPr>
        <w:t xml:space="preserve"> year of audit for the </w:t>
      </w:r>
      <w:r>
        <w:rPr>
          <w:rFonts w:cstheme="minorHAnsi"/>
        </w:rPr>
        <w:t>company</w:t>
      </w:r>
      <w:r w:rsidR="00BC6603">
        <w:rPr>
          <w:rFonts w:cstheme="minorHAnsi"/>
        </w:rPr>
        <w:t xml:space="preserve"> and we didn’t find any misstatement in our previous audit</w:t>
      </w:r>
      <w:r w:rsidRPr="00154A75">
        <w:rPr>
          <w:rFonts w:cstheme="minorHAnsi"/>
        </w:rPr>
        <w:t xml:space="preserve">, </w:t>
      </w:r>
      <w:r w:rsidRPr="00B1096E">
        <w:rPr>
          <w:rFonts w:cstheme="minorHAnsi"/>
        </w:rPr>
        <w:t>a percentage</w:t>
      </w:r>
      <w:r w:rsidR="00BC6603">
        <w:rPr>
          <w:rFonts w:cstheme="minorHAnsi"/>
        </w:rPr>
        <w:t xml:space="preserve"> i.e.,</w:t>
      </w:r>
      <w:r w:rsidRPr="00B1096E">
        <w:rPr>
          <w:rFonts w:cstheme="minorHAnsi"/>
        </w:rPr>
        <w:t xml:space="preserve"> @ </w:t>
      </w:r>
      <w:r w:rsidR="00BC6603">
        <w:rPr>
          <w:rFonts w:cstheme="minorHAnsi"/>
        </w:rPr>
        <w:t>1.5</w:t>
      </w:r>
      <w:r w:rsidRPr="00B1096E">
        <w:rPr>
          <w:rFonts w:cstheme="minorHAnsi"/>
        </w:rPr>
        <w:t>% has been applied to determine</w:t>
      </w:r>
      <w:r>
        <w:rPr>
          <w:rFonts w:cstheme="minorHAnsi"/>
        </w:rPr>
        <w:t xml:space="preserve"> the</w:t>
      </w:r>
      <w:r w:rsidRPr="00B1096E">
        <w:rPr>
          <w:rFonts w:cstheme="minorHAnsi"/>
        </w:rPr>
        <w:t xml:space="preserve"> materiality. However, Deloitte Audit Manual recognises that other percentages may be used based on the professional judgment of the engagement partner.</w:t>
      </w:r>
    </w:p>
    <w:p w14:paraId="167D37C9" w14:textId="3B89C108" w:rsidR="00365949" w:rsidRDefault="0078510E" w:rsidP="0078510E">
      <w:pPr>
        <w:jc w:val="both"/>
        <w:rPr>
          <w:rFonts w:cstheme="minorHAnsi"/>
          <w:szCs w:val="20"/>
        </w:rPr>
      </w:pPr>
      <w:r w:rsidRPr="00B1096E">
        <w:rPr>
          <w:rFonts w:cstheme="minorHAnsi"/>
          <w:szCs w:val="20"/>
        </w:rPr>
        <w:t xml:space="preserve">The engagement team has determined to calculate the materiality by applying </w:t>
      </w:r>
      <w:r w:rsidR="00BC6603">
        <w:rPr>
          <w:rFonts w:cstheme="minorHAnsi"/>
          <w:szCs w:val="20"/>
        </w:rPr>
        <w:t>1</w:t>
      </w:r>
      <w:r w:rsidRPr="00B1096E">
        <w:rPr>
          <w:rFonts w:cstheme="minorHAnsi"/>
          <w:szCs w:val="20"/>
        </w:rPr>
        <w:t>.</w:t>
      </w:r>
      <w:r w:rsidR="00BC6603">
        <w:rPr>
          <w:rFonts w:cstheme="minorHAnsi"/>
          <w:szCs w:val="20"/>
        </w:rPr>
        <w:t>5</w:t>
      </w:r>
      <w:r w:rsidRPr="00B1096E">
        <w:rPr>
          <w:rFonts w:cstheme="minorHAnsi"/>
          <w:szCs w:val="20"/>
        </w:rPr>
        <w:t xml:space="preserve">% on </w:t>
      </w:r>
      <w:r>
        <w:rPr>
          <w:rFonts w:cstheme="minorHAnsi"/>
          <w:szCs w:val="20"/>
        </w:rPr>
        <w:t>revenue</w:t>
      </w:r>
      <w:r w:rsidRPr="00B1096E">
        <w:rPr>
          <w:rFonts w:cstheme="minorHAnsi"/>
          <w:szCs w:val="20"/>
        </w:rPr>
        <w:t xml:space="preserve"> and performance materiality @75% of materiality. The following materiality has been calculated based on draft financial statements for the year ended 30 June 2021</w:t>
      </w:r>
      <w:r w:rsidR="00282FAE" w:rsidRPr="00B1096E">
        <w:rPr>
          <w:rFonts w:cstheme="minorHAnsi"/>
          <w:szCs w:val="20"/>
        </w:rPr>
        <w:t>:</w:t>
      </w:r>
    </w:p>
    <w:p w14:paraId="2EBF1A03" w14:textId="77777777" w:rsidR="00365949" w:rsidRDefault="00365949">
      <w:pPr>
        <w:rPr>
          <w:rFonts w:cstheme="minorHAnsi"/>
          <w:szCs w:val="20"/>
        </w:rPr>
      </w:pPr>
      <w:r>
        <w:rPr>
          <w:rFonts w:cstheme="minorHAnsi"/>
          <w:szCs w:val="20"/>
        </w:rPr>
        <w:br w:type="page"/>
      </w:r>
    </w:p>
    <w:p w14:paraId="7D798FAC" w14:textId="77777777" w:rsidR="00536246" w:rsidRPr="00282FAE" w:rsidRDefault="00536246" w:rsidP="0078510E">
      <w:pPr>
        <w:jc w:val="both"/>
        <w:rPr>
          <w:rFonts w:cstheme="minorHAnsi"/>
          <w:szCs w:val="20"/>
        </w:rPr>
      </w:pPr>
    </w:p>
    <w:tbl>
      <w:tblPr>
        <w:tblStyle w:val="TableGrid"/>
        <w:tblW w:w="0" w:type="auto"/>
        <w:tblLook w:val="04A0" w:firstRow="1" w:lastRow="0" w:firstColumn="1" w:lastColumn="0" w:noHBand="0" w:noVBand="1"/>
      </w:tblPr>
      <w:tblGrid>
        <w:gridCol w:w="886"/>
        <w:gridCol w:w="3996"/>
        <w:gridCol w:w="2007"/>
        <w:gridCol w:w="1939"/>
      </w:tblGrid>
      <w:tr w:rsidR="000B0F8B" w:rsidRPr="0071273F" w14:paraId="586E4DCF" w14:textId="74064FB5" w:rsidTr="00A56321">
        <w:trPr>
          <w:trHeight w:val="265"/>
        </w:trPr>
        <w:tc>
          <w:tcPr>
            <w:tcW w:w="886" w:type="dxa"/>
          </w:tcPr>
          <w:p w14:paraId="5CD1DBCE" w14:textId="77777777" w:rsidR="000B0F8B" w:rsidRPr="006C34CE" w:rsidRDefault="000B0F8B" w:rsidP="00EA7155">
            <w:pPr>
              <w:jc w:val="both"/>
              <w:rPr>
                <w:rFonts w:cstheme="minorHAnsi"/>
                <w:b/>
                <w:color w:val="000000" w:themeColor="text1"/>
              </w:rPr>
            </w:pPr>
            <w:r w:rsidRPr="006C34CE">
              <w:rPr>
                <w:rFonts w:cstheme="minorHAnsi"/>
                <w:b/>
                <w:color w:val="000000" w:themeColor="text1"/>
              </w:rPr>
              <w:t>Sl. No.</w:t>
            </w:r>
          </w:p>
        </w:tc>
        <w:tc>
          <w:tcPr>
            <w:tcW w:w="3996" w:type="dxa"/>
          </w:tcPr>
          <w:p w14:paraId="79EA5A1B" w14:textId="77777777" w:rsidR="000B0F8B" w:rsidRPr="006C34CE" w:rsidRDefault="000B0F8B" w:rsidP="00EA7155">
            <w:pPr>
              <w:jc w:val="both"/>
              <w:rPr>
                <w:rFonts w:cstheme="minorHAnsi"/>
                <w:b/>
                <w:color w:val="000000" w:themeColor="text1"/>
              </w:rPr>
            </w:pPr>
            <w:r w:rsidRPr="006C34CE">
              <w:rPr>
                <w:rFonts w:cstheme="minorHAnsi"/>
                <w:b/>
                <w:color w:val="000000" w:themeColor="text1"/>
              </w:rPr>
              <w:t>Particulars</w:t>
            </w:r>
          </w:p>
        </w:tc>
        <w:tc>
          <w:tcPr>
            <w:tcW w:w="2006" w:type="dxa"/>
          </w:tcPr>
          <w:p w14:paraId="2E8FA9B5" w14:textId="77777777" w:rsidR="000B0F8B" w:rsidRPr="006C34CE" w:rsidRDefault="000B0F8B" w:rsidP="0071273F">
            <w:pPr>
              <w:rPr>
                <w:rFonts w:cstheme="minorHAnsi"/>
                <w:b/>
                <w:color w:val="000000" w:themeColor="text1"/>
              </w:rPr>
            </w:pPr>
            <w:r w:rsidRPr="006C34CE">
              <w:rPr>
                <w:rFonts w:cstheme="minorHAnsi"/>
                <w:b/>
                <w:color w:val="000000" w:themeColor="text1"/>
              </w:rPr>
              <w:t>USD</w:t>
            </w:r>
          </w:p>
        </w:tc>
        <w:tc>
          <w:tcPr>
            <w:tcW w:w="1939" w:type="dxa"/>
          </w:tcPr>
          <w:p w14:paraId="312CC685" w14:textId="1398625E" w:rsidR="000B0F8B" w:rsidRDefault="000B0F8B" w:rsidP="0071273F">
            <w:pPr>
              <w:rPr>
                <w:rFonts w:cstheme="minorHAnsi"/>
                <w:b/>
                <w:color w:val="000000" w:themeColor="text1"/>
              </w:rPr>
            </w:pPr>
            <w:r>
              <w:rPr>
                <w:rFonts w:cstheme="minorHAnsi"/>
                <w:b/>
                <w:color w:val="000000" w:themeColor="text1"/>
              </w:rPr>
              <w:t>BDT</w:t>
            </w:r>
          </w:p>
        </w:tc>
      </w:tr>
      <w:tr w:rsidR="000B0F8B" w:rsidRPr="0071273F" w14:paraId="4E1E62B5" w14:textId="1DC8A839" w:rsidTr="00A56321">
        <w:trPr>
          <w:trHeight w:val="265"/>
        </w:trPr>
        <w:tc>
          <w:tcPr>
            <w:tcW w:w="6889" w:type="dxa"/>
            <w:gridSpan w:val="3"/>
          </w:tcPr>
          <w:p w14:paraId="1AABDBDD" w14:textId="77777777" w:rsidR="000B0F8B" w:rsidRPr="006C34CE" w:rsidRDefault="000B0F8B" w:rsidP="006B54EB">
            <w:pPr>
              <w:pStyle w:val="ListParagraph"/>
              <w:ind w:left="341"/>
              <w:rPr>
                <w:rFonts w:cstheme="minorHAnsi"/>
                <w:b/>
                <w:color w:val="000000" w:themeColor="text1"/>
              </w:rPr>
            </w:pPr>
            <w:r w:rsidRPr="006C34CE">
              <w:rPr>
                <w:rFonts w:cstheme="minorHAnsi"/>
                <w:b/>
                <w:color w:val="000000" w:themeColor="text1"/>
              </w:rPr>
              <w:t>For Statutory Audit</w:t>
            </w:r>
          </w:p>
        </w:tc>
        <w:tc>
          <w:tcPr>
            <w:tcW w:w="1939" w:type="dxa"/>
          </w:tcPr>
          <w:p w14:paraId="35EA4642" w14:textId="77777777" w:rsidR="000B0F8B" w:rsidRPr="006C34CE" w:rsidRDefault="000B0F8B" w:rsidP="006B54EB">
            <w:pPr>
              <w:pStyle w:val="ListParagraph"/>
              <w:ind w:left="341"/>
              <w:rPr>
                <w:rFonts w:cstheme="minorHAnsi"/>
                <w:b/>
                <w:color w:val="000000" w:themeColor="text1"/>
              </w:rPr>
            </w:pPr>
          </w:p>
        </w:tc>
      </w:tr>
      <w:tr w:rsidR="000B0F8B" w:rsidRPr="00FE6356" w14:paraId="0E48825D" w14:textId="77962A9D" w:rsidTr="00A56321">
        <w:trPr>
          <w:trHeight w:val="265"/>
        </w:trPr>
        <w:tc>
          <w:tcPr>
            <w:tcW w:w="886" w:type="dxa"/>
          </w:tcPr>
          <w:p w14:paraId="7EBDA725" w14:textId="77777777" w:rsidR="000B0F8B" w:rsidRPr="006C34CE" w:rsidRDefault="000B0F8B" w:rsidP="00653770">
            <w:pPr>
              <w:jc w:val="center"/>
              <w:rPr>
                <w:rFonts w:cstheme="minorHAnsi"/>
                <w:color w:val="000000" w:themeColor="text1"/>
              </w:rPr>
            </w:pPr>
            <w:r w:rsidRPr="006C34CE">
              <w:rPr>
                <w:rFonts w:cstheme="minorHAnsi"/>
                <w:color w:val="000000" w:themeColor="text1"/>
              </w:rPr>
              <w:t>1</w:t>
            </w:r>
          </w:p>
        </w:tc>
        <w:tc>
          <w:tcPr>
            <w:tcW w:w="3996" w:type="dxa"/>
          </w:tcPr>
          <w:p w14:paraId="4CC23E23" w14:textId="0E1B5D81" w:rsidR="000B0F8B" w:rsidRPr="006C34CE" w:rsidRDefault="000B0F8B" w:rsidP="00653770">
            <w:pPr>
              <w:jc w:val="both"/>
              <w:rPr>
                <w:rFonts w:cstheme="minorHAnsi"/>
                <w:color w:val="000000" w:themeColor="text1"/>
              </w:rPr>
            </w:pPr>
            <w:r w:rsidRPr="006C34CE">
              <w:rPr>
                <w:rFonts w:cstheme="minorHAnsi"/>
                <w:color w:val="000000" w:themeColor="text1"/>
              </w:rPr>
              <w:t xml:space="preserve">Export Sales </w:t>
            </w:r>
          </w:p>
        </w:tc>
        <w:tc>
          <w:tcPr>
            <w:tcW w:w="2006" w:type="dxa"/>
          </w:tcPr>
          <w:p w14:paraId="52D69CC1" w14:textId="326C8C36" w:rsidR="000B0F8B" w:rsidRPr="00531B38" w:rsidRDefault="000B0F8B" w:rsidP="00722E12">
            <w:pPr>
              <w:rPr>
                <w:rFonts w:cstheme="minorHAnsi"/>
              </w:rPr>
            </w:pPr>
            <w:r>
              <w:rPr>
                <w:rFonts w:ascii="Open Sans" w:hAnsi="Open Sans" w:cs="Open Sans"/>
                <w:sz w:val="20"/>
                <w:szCs w:val="20"/>
              </w:rPr>
              <w:t>86,826,344</w:t>
            </w:r>
          </w:p>
        </w:tc>
        <w:tc>
          <w:tcPr>
            <w:tcW w:w="1939" w:type="dxa"/>
          </w:tcPr>
          <w:p w14:paraId="56EDC4AA" w14:textId="33D0140A" w:rsidR="000B0F8B" w:rsidRPr="00CB6E32" w:rsidRDefault="00FE6356" w:rsidP="00722E12">
            <w:pPr>
              <w:rPr>
                <w:rFonts w:cstheme="minorHAnsi"/>
              </w:rPr>
            </w:pPr>
            <w:r w:rsidRPr="00CB6E32">
              <w:rPr>
                <w:rFonts w:cstheme="minorHAnsi"/>
              </w:rPr>
              <w:t>7,402,910,687.04</w:t>
            </w:r>
          </w:p>
        </w:tc>
      </w:tr>
      <w:tr w:rsidR="000B0F8B" w:rsidRPr="0071273F" w14:paraId="336AC0B6" w14:textId="7A9EA2DE" w:rsidTr="00A56321">
        <w:trPr>
          <w:trHeight w:val="250"/>
        </w:trPr>
        <w:tc>
          <w:tcPr>
            <w:tcW w:w="886" w:type="dxa"/>
          </w:tcPr>
          <w:p w14:paraId="0EBDF2FE" w14:textId="77777777" w:rsidR="000B0F8B" w:rsidRPr="006C34CE" w:rsidRDefault="000B0F8B" w:rsidP="00A27AC8">
            <w:pPr>
              <w:jc w:val="center"/>
              <w:rPr>
                <w:rFonts w:cstheme="minorHAnsi"/>
                <w:color w:val="000000" w:themeColor="text1"/>
              </w:rPr>
            </w:pPr>
            <w:r w:rsidRPr="006C34CE">
              <w:rPr>
                <w:rFonts w:cstheme="minorHAnsi"/>
                <w:color w:val="000000" w:themeColor="text1"/>
              </w:rPr>
              <w:t>2</w:t>
            </w:r>
          </w:p>
        </w:tc>
        <w:tc>
          <w:tcPr>
            <w:tcW w:w="3996" w:type="dxa"/>
          </w:tcPr>
          <w:p w14:paraId="281FBF82" w14:textId="3731E39D" w:rsidR="000B0F8B" w:rsidRPr="006C34CE" w:rsidRDefault="000B0F8B" w:rsidP="00A27AC8">
            <w:pPr>
              <w:jc w:val="both"/>
              <w:rPr>
                <w:rFonts w:cstheme="minorHAnsi"/>
                <w:color w:val="000000" w:themeColor="text1"/>
              </w:rPr>
            </w:pPr>
            <w:r w:rsidRPr="006C34CE">
              <w:rPr>
                <w:rFonts w:cstheme="minorHAnsi"/>
                <w:color w:val="000000" w:themeColor="text1"/>
              </w:rPr>
              <w:t>Materiality (</w:t>
            </w:r>
            <w:r>
              <w:rPr>
                <w:rFonts w:cstheme="minorHAnsi"/>
                <w:color w:val="000000" w:themeColor="text1"/>
              </w:rPr>
              <w:t>1.5</w:t>
            </w:r>
            <w:r w:rsidRPr="006C34CE">
              <w:rPr>
                <w:rFonts w:cstheme="minorHAnsi"/>
                <w:color w:val="000000" w:themeColor="text1"/>
              </w:rPr>
              <w:t>% on export sales)</w:t>
            </w:r>
          </w:p>
        </w:tc>
        <w:tc>
          <w:tcPr>
            <w:tcW w:w="2006" w:type="dxa"/>
          </w:tcPr>
          <w:p w14:paraId="6502B1C5" w14:textId="6865C25B" w:rsidR="000B0F8B" w:rsidRPr="00531B38" w:rsidRDefault="00793759" w:rsidP="00A27AC8">
            <w:pPr>
              <w:rPr>
                <w:rFonts w:cstheme="minorHAnsi"/>
                <w:color w:val="000000" w:themeColor="text1"/>
              </w:rPr>
            </w:pPr>
            <w:r>
              <w:rPr>
                <w:rFonts w:cstheme="minorHAnsi"/>
              </w:rPr>
              <w:t>1,302,000</w:t>
            </w:r>
          </w:p>
        </w:tc>
        <w:tc>
          <w:tcPr>
            <w:tcW w:w="1939" w:type="dxa"/>
          </w:tcPr>
          <w:p w14:paraId="32DB1B2E" w14:textId="13FC7CA4" w:rsidR="000B0F8B" w:rsidRDefault="0097465A" w:rsidP="00A27AC8">
            <w:pPr>
              <w:rPr>
                <w:rFonts w:cstheme="minorHAnsi"/>
              </w:rPr>
            </w:pPr>
            <w:r>
              <w:rPr>
                <w:rFonts w:cstheme="minorHAnsi"/>
              </w:rPr>
              <w:t>111,</w:t>
            </w:r>
            <w:r w:rsidR="00DC1371">
              <w:rPr>
                <w:rFonts w:cstheme="minorHAnsi"/>
              </w:rPr>
              <w:t>000,000</w:t>
            </w:r>
          </w:p>
        </w:tc>
      </w:tr>
      <w:tr w:rsidR="000B0F8B" w:rsidRPr="0071273F" w14:paraId="0B0CE49B" w14:textId="1AAE895B" w:rsidTr="00A56321">
        <w:trPr>
          <w:trHeight w:val="530"/>
        </w:trPr>
        <w:tc>
          <w:tcPr>
            <w:tcW w:w="886" w:type="dxa"/>
          </w:tcPr>
          <w:p w14:paraId="216FE068" w14:textId="77777777" w:rsidR="000B0F8B" w:rsidRPr="006C34CE" w:rsidRDefault="000B0F8B" w:rsidP="00A27AC8">
            <w:pPr>
              <w:jc w:val="center"/>
              <w:rPr>
                <w:rFonts w:cstheme="minorHAnsi"/>
                <w:color w:val="000000" w:themeColor="text1"/>
              </w:rPr>
            </w:pPr>
            <w:r w:rsidRPr="006C34CE">
              <w:rPr>
                <w:rFonts w:cstheme="minorHAnsi"/>
                <w:color w:val="000000" w:themeColor="text1"/>
              </w:rPr>
              <w:t>3</w:t>
            </w:r>
          </w:p>
        </w:tc>
        <w:tc>
          <w:tcPr>
            <w:tcW w:w="3996" w:type="dxa"/>
          </w:tcPr>
          <w:p w14:paraId="5C00CAE6" w14:textId="3A456636" w:rsidR="000B0F8B" w:rsidRPr="006C34CE" w:rsidRDefault="000B0F8B" w:rsidP="00A27AC8">
            <w:pPr>
              <w:jc w:val="both"/>
              <w:rPr>
                <w:rFonts w:cstheme="minorHAnsi"/>
                <w:color w:val="000000" w:themeColor="text1"/>
              </w:rPr>
            </w:pPr>
            <w:r w:rsidRPr="006C34CE">
              <w:rPr>
                <w:rFonts w:cstheme="minorHAnsi"/>
                <w:color w:val="000000" w:themeColor="text1"/>
              </w:rPr>
              <w:t>Performance materiality (75% of materiality)</w:t>
            </w:r>
          </w:p>
        </w:tc>
        <w:tc>
          <w:tcPr>
            <w:tcW w:w="2006" w:type="dxa"/>
          </w:tcPr>
          <w:p w14:paraId="2574C095" w14:textId="1F36ADC9" w:rsidR="000B0F8B" w:rsidRPr="00531B38" w:rsidRDefault="00793759" w:rsidP="00A27AC8">
            <w:pPr>
              <w:rPr>
                <w:rFonts w:cstheme="minorHAnsi"/>
              </w:rPr>
            </w:pPr>
            <w:r>
              <w:rPr>
                <w:rFonts w:cstheme="minorHAnsi"/>
              </w:rPr>
              <w:t>976,500</w:t>
            </w:r>
          </w:p>
        </w:tc>
        <w:tc>
          <w:tcPr>
            <w:tcW w:w="1939" w:type="dxa"/>
          </w:tcPr>
          <w:p w14:paraId="34D83323" w14:textId="300012AB" w:rsidR="000B0F8B" w:rsidRDefault="00AF3722" w:rsidP="00A27AC8">
            <w:pPr>
              <w:rPr>
                <w:rFonts w:cstheme="minorHAnsi"/>
              </w:rPr>
            </w:pPr>
            <w:r>
              <w:rPr>
                <w:rFonts w:cstheme="minorHAnsi"/>
              </w:rPr>
              <w:t>83</w:t>
            </w:r>
            <w:r w:rsidR="001E7F86">
              <w:rPr>
                <w:rFonts w:cstheme="minorHAnsi"/>
              </w:rPr>
              <w:t>,</w:t>
            </w:r>
            <w:r>
              <w:rPr>
                <w:rFonts w:cstheme="minorHAnsi"/>
              </w:rPr>
              <w:t>2</w:t>
            </w:r>
            <w:r w:rsidR="001E7F86">
              <w:rPr>
                <w:rFonts w:cstheme="minorHAnsi"/>
              </w:rPr>
              <w:t>00</w:t>
            </w:r>
            <w:r>
              <w:rPr>
                <w:rFonts w:cstheme="minorHAnsi"/>
              </w:rPr>
              <w:t>,000</w:t>
            </w:r>
          </w:p>
        </w:tc>
      </w:tr>
      <w:tr w:rsidR="000B0F8B" w:rsidRPr="0071273F" w14:paraId="1818350B" w14:textId="652E9FB4" w:rsidTr="00A56321">
        <w:trPr>
          <w:trHeight w:val="321"/>
        </w:trPr>
        <w:tc>
          <w:tcPr>
            <w:tcW w:w="886" w:type="dxa"/>
          </w:tcPr>
          <w:p w14:paraId="08AAC4EF" w14:textId="77777777" w:rsidR="000B0F8B" w:rsidRPr="006C34CE" w:rsidRDefault="000B0F8B" w:rsidP="00A27AC8">
            <w:pPr>
              <w:jc w:val="center"/>
              <w:rPr>
                <w:rFonts w:cstheme="minorHAnsi"/>
                <w:color w:val="000000" w:themeColor="text1"/>
              </w:rPr>
            </w:pPr>
            <w:r w:rsidRPr="006C34CE">
              <w:rPr>
                <w:rFonts w:cstheme="minorHAnsi"/>
                <w:color w:val="000000" w:themeColor="text1"/>
              </w:rPr>
              <w:t>4</w:t>
            </w:r>
          </w:p>
        </w:tc>
        <w:tc>
          <w:tcPr>
            <w:tcW w:w="3996" w:type="dxa"/>
          </w:tcPr>
          <w:p w14:paraId="1A51C843" w14:textId="23D5227B" w:rsidR="000B0F8B" w:rsidRPr="006C34CE" w:rsidRDefault="000B0F8B" w:rsidP="00A27AC8">
            <w:pPr>
              <w:jc w:val="both"/>
              <w:rPr>
                <w:rFonts w:cstheme="minorHAnsi"/>
                <w:color w:val="000000" w:themeColor="text1"/>
              </w:rPr>
            </w:pPr>
            <w:r w:rsidRPr="006C34CE">
              <w:rPr>
                <w:rFonts w:cstheme="minorHAnsi"/>
                <w:color w:val="000000" w:themeColor="text1"/>
              </w:rPr>
              <w:t>Clearly trivial threshold (5% of materiality)</w:t>
            </w:r>
          </w:p>
        </w:tc>
        <w:tc>
          <w:tcPr>
            <w:tcW w:w="2006" w:type="dxa"/>
          </w:tcPr>
          <w:p w14:paraId="4E7C7819" w14:textId="3C1EB6FA" w:rsidR="000B0F8B" w:rsidRPr="00531B38" w:rsidRDefault="00793759" w:rsidP="00A27AC8">
            <w:pPr>
              <w:rPr>
                <w:rFonts w:cstheme="minorHAnsi"/>
              </w:rPr>
            </w:pPr>
            <w:r>
              <w:rPr>
                <w:rFonts w:cstheme="minorHAnsi"/>
              </w:rPr>
              <w:t>65,000</w:t>
            </w:r>
          </w:p>
        </w:tc>
        <w:tc>
          <w:tcPr>
            <w:tcW w:w="1939" w:type="dxa"/>
          </w:tcPr>
          <w:p w14:paraId="48B19C00" w14:textId="1DFA85B9" w:rsidR="000B0F8B" w:rsidRDefault="00D14CB1" w:rsidP="00A27AC8">
            <w:pPr>
              <w:rPr>
                <w:rFonts w:cstheme="minorHAnsi"/>
              </w:rPr>
            </w:pPr>
            <w:r>
              <w:rPr>
                <w:rFonts w:cstheme="minorHAnsi"/>
              </w:rPr>
              <w:t>5</w:t>
            </w:r>
            <w:r w:rsidR="00A56321">
              <w:rPr>
                <w:rFonts w:cstheme="minorHAnsi"/>
              </w:rPr>
              <w:t>,</w:t>
            </w:r>
            <w:r>
              <w:rPr>
                <w:rFonts w:cstheme="minorHAnsi"/>
              </w:rPr>
              <w:t>5</w:t>
            </w:r>
            <w:r w:rsidR="00A56321">
              <w:rPr>
                <w:rFonts w:cstheme="minorHAnsi"/>
              </w:rPr>
              <w:t>50,000</w:t>
            </w:r>
          </w:p>
        </w:tc>
      </w:tr>
    </w:tbl>
    <w:p w14:paraId="146599CF" w14:textId="77777777" w:rsidR="00D70FFA" w:rsidRDefault="00D70FFA" w:rsidP="00B2714A">
      <w:pPr>
        <w:jc w:val="both"/>
        <w:rPr>
          <w:rFonts w:cstheme="minorHAnsi"/>
          <w:b/>
          <w:color w:val="000000" w:themeColor="text1"/>
          <w:szCs w:val="20"/>
        </w:rPr>
      </w:pPr>
    </w:p>
    <w:p w14:paraId="6A25F228" w14:textId="03F97762" w:rsidR="00B2714A" w:rsidRPr="0071273F" w:rsidRDefault="00B2714A" w:rsidP="00B2714A">
      <w:pPr>
        <w:jc w:val="both"/>
        <w:rPr>
          <w:rFonts w:cstheme="minorHAnsi"/>
          <w:color w:val="000000" w:themeColor="text1"/>
          <w:szCs w:val="20"/>
        </w:rPr>
      </w:pPr>
      <w:r w:rsidRPr="0071273F">
        <w:rPr>
          <w:rFonts w:cstheme="minorHAnsi"/>
          <w:b/>
          <w:color w:val="000000" w:themeColor="text1"/>
          <w:szCs w:val="20"/>
        </w:rPr>
        <w:t>Performance materiality:</w:t>
      </w:r>
      <w:r w:rsidRPr="0071273F">
        <w:rPr>
          <w:rFonts w:cstheme="minorHAnsi"/>
          <w:color w:val="000000" w:themeColor="text1"/>
          <w:szCs w:val="20"/>
        </w:rPr>
        <w:t xml:space="preserve"> </w:t>
      </w:r>
    </w:p>
    <w:p w14:paraId="233F9240" w14:textId="1E1E33BF" w:rsidR="00531B38" w:rsidRPr="006E6CA4" w:rsidRDefault="006E6CA4" w:rsidP="00B2714A">
      <w:pPr>
        <w:jc w:val="both"/>
        <w:rPr>
          <w:rFonts w:cstheme="minorHAnsi"/>
          <w:szCs w:val="20"/>
        </w:rPr>
      </w:pPr>
      <w:r w:rsidRPr="00B1096E">
        <w:rPr>
          <w:rFonts w:cstheme="minorHAnsi"/>
          <w:szCs w:val="20"/>
        </w:rPr>
        <w:t xml:space="preserve">We have considered performance materiality to be 75% of the materiality based on the factors like other manufacturing concerns and the risk of uncorrected and undetected misstatements may remain in the financial statements. </w:t>
      </w:r>
      <w:r w:rsidR="00B2714A" w:rsidRPr="0071273F">
        <w:rPr>
          <w:rFonts w:cstheme="minorHAnsi"/>
          <w:color w:val="000000" w:themeColor="text1"/>
          <w:szCs w:val="20"/>
        </w:rPr>
        <w:t xml:space="preserve"> </w:t>
      </w:r>
    </w:p>
    <w:p w14:paraId="27D178AB" w14:textId="46766FD5" w:rsidR="00B2714A" w:rsidRPr="0071273F" w:rsidRDefault="00B2714A" w:rsidP="00B2714A">
      <w:pPr>
        <w:jc w:val="both"/>
        <w:rPr>
          <w:rFonts w:cstheme="minorHAnsi"/>
          <w:b/>
          <w:color w:val="000000" w:themeColor="text1"/>
          <w:szCs w:val="20"/>
        </w:rPr>
      </w:pPr>
      <w:r w:rsidRPr="0071273F">
        <w:rPr>
          <w:rFonts w:cstheme="minorHAnsi"/>
          <w:b/>
          <w:color w:val="000000" w:themeColor="text1"/>
          <w:szCs w:val="20"/>
        </w:rPr>
        <w:t xml:space="preserve">Clearly trivial threshold: </w:t>
      </w:r>
    </w:p>
    <w:p w14:paraId="1AE4B782" w14:textId="77777777" w:rsidR="006E6CA4" w:rsidRPr="00B1096E" w:rsidRDefault="006E6CA4" w:rsidP="006E6CA4">
      <w:pPr>
        <w:jc w:val="both"/>
        <w:rPr>
          <w:rFonts w:cstheme="minorHAnsi"/>
          <w:szCs w:val="20"/>
        </w:rPr>
      </w:pPr>
      <w:r w:rsidRPr="00B1096E">
        <w:rPr>
          <w:rFonts w:cstheme="minorHAnsi"/>
          <w:szCs w:val="20"/>
        </w:rPr>
        <w:t xml:space="preserve">Per DAM 13100 para 40, up to 5 percent of materiality is often considered as clearly trivial. The engagement partner may determine, based on the facts and circumstances of the entity and the audit engagement that a lower level is appropriate. Factors such as the nature of the entity, history of misstatements, and number of locations may affect the actual threshold of what we consider clearly trivial. As such we have considered the maximum percentage allowed for the company.  </w:t>
      </w:r>
    </w:p>
    <w:p w14:paraId="1A00D7CA" w14:textId="77777777" w:rsidR="001F2A0C" w:rsidRPr="0071273F" w:rsidRDefault="00B2714A" w:rsidP="00B2714A">
      <w:pPr>
        <w:jc w:val="both"/>
        <w:rPr>
          <w:rFonts w:cstheme="minorHAnsi"/>
          <w:b/>
          <w:color w:val="000000" w:themeColor="text1"/>
          <w:szCs w:val="20"/>
        </w:rPr>
      </w:pPr>
      <w:r w:rsidRPr="0071273F">
        <w:rPr>
          <w:rFonts w:cstheme="minorHAnsi"/>
          <w:b/>
          <w:color w:val="000000" w:themeColor="text1"/>
          <w:szCs w:val="20"/>
        </w:rPr>
        <w:t xml:space="preserve">Conclusion: </w:t>
      </w:r>
    </w:p>
    <w:p w14:paraId="5A57460E" w14:textId="24835F63" w:rsidR="00B2714A" w:rsidRPr="006E6CA4" w:rsidRDefault="006E6CA4" w:rsidP="00146944">
      <w:pPr>
        <w:jc w:val="both"/>
        <w:rPr>
          <w:rFonts w:cstheme="minorHAnsi"/>
        </w:rPr>
      </w:pPr>
      <w:r w:rsidRPr="00B1096E">
        <w:rPr>
          <w:rFonts w:cstheme="minorHAnsi"/>
        </w:rPr>
        <w:t>Based on the above analysis, we have determined that materiality @</w:t>
      </w:r>
      <w:r w:rsidR="00C73900">
        <w:rPr>
          <w:rFonts w:cstheme="minorHAnsi"/>
        </w:rPr>
        <w:t>1.5</w:t>
      </w:r>
      <w:r w:rsidRPr="00B1096E">
        <w:rPr>
          <w:rFonts w:cstheme="minorHAnsi"/>
        </w:rPr>
        <w:t xml:space="preserve">% on export sale </w:t>
      </w:r>
      <w:r w:rsidR="00C73900">
        <w:rPr>
          <w:rFonts w:cstheme="minorHAnsi"/>
        </w:rPr>
        <w:t>is</w:t>
      </w:r>
      <w:r w:rsidRPr="00B1096E">
        <w:rPr>
          <w:rFonts w:cstheme="minorHAnsi"/>
        </w:rPr>
        <w:t xml:space="preserve"> appropriate </w:t>
      </w:r>
      <w:r w:rsidR="00BC6603" w:rsidRPr="00B1096E">
        <w:rPr>
          <w:rFonts w:cstheme="minorHAnsi"/>
        </w:rPr>
        <w:t>and</w:t>
      </w:r>
      <w:r w:rsidRPr="00B1096E">
        <w:rPr>
          <w:rFonts w:cstheme="minorHAnsi"/>
        </w:rPr>
        <w:t xml:space="preserve"> concluded that the use of a</w:t>
      </w:r>
      <w:r>
        <w:rPr>
          <w:rFonts w:cstheme="minorHAnsi"/>
        </w:rPr>
        <w:t xml:space="preserve"> </w:t>
      </w:r>
      <w:r w:rsidRPr="00B1096E">
        <w:rPr>
          <w:rFonts w:cstheme="minorHAnsi"/>
        </w:rPr>
        <w:t>percentage of materiality calculation did not carry significant risk of undetected or uncorrected misstatements of the financial statements.</w:t>
      </w:r>
    </w:p>
    <w:p w14:paraId="61277EF8" w14:textId="77777777" w:rsidR="002374B1" w:rsidRPr="0071273F" w:rsidRDefault="002374B1" w:rsidP="004C0C1B">
      <w:pPr>
        <w:jc w:val="both"/>
        <w:rPr>
          <w:rFonts w:cstheme="minorHAnsi"/>
          <w:color w:val="000000" w:themeColor="text1"/>
          <w:szCs w:val="20"/>
        </w:rPr>
      </w:pPr>
    </w:p>
    <w:sectPr w:rsidR="002374B1" w:rsidRPr="0071273F" w:rsidSect="00671F88">
      <w:headerReference w:type="default" r:id="rId10"/>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1A55" w14:textId="77777777" w:rsidR="00327EE9" w:rsidRDefault="00327EE9" w:rsidP="00865676">
      <w:pPr>
        <w:spacing w:after="0" w:line="240" w:lineRule="auto"/>
      </w:pPr>
      <w:r>
        <w:separator/>
      </w:r>
    </w:p>
  </w:endnote>
  <w:endnote w:type="continuationSeparator" w:id="0">
    <w:p w14:paraId="7C986872" w14:textId="77777777" w:rsidR="00327EE9" w:rsidRDefault="00327EE9"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58898" w14:textId="77777777" w:rsidR="00327EE9" w:rsidRDefault="00327EE9" w:rsidP="00865676">
      <w:pPr>
        <w:spacing w:after="0" w:line="240" w:lineRule="auto"/>
      </w:pPr>
      <w:r>
        <w:separator/>
      </w:r>
    </w:p>
  </w:footnote>
  <w:footnote w:type="continuationSeparator" w:id="0">
    <w:p w14:paraId="347E0321" w14:textId="77777777" w:rsidR="00327EE9" w:rsidRDefault="00327EE9"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BFB51" w14:textId="77777777" w:rsidR="00A002D3" w:rsidRPr="00FB4132" w:rsidRDefault="00865676" w:rsidP="001C79F4">
    <w:pPr>
      <w:pStyle w:val="Documenttitle"/>
      <w:jc w:val="right"/>
      <w:rPr>
        <w:rFonts w:asciiTheme="minorHAnsi" w:hAnsiTheme="minorHAnsi" w:cstheme="minorHAnsi"/>
      </w:rPr>
    </w:pPr>
    <w:r w:rsidRPr="00FB4132">
      <w:rPr>
        <w:rFonts w:asciiTheme="minorHAnsi" w:hAnsiTheme="minorHAnsi" w:cstheme="minorHAnsi"/>
        <w:noProof/>
        <w:sz w:val="16"/>
        <w:szCs w:val="16"/>
        <w:lang w:val="en-US"/>
      </w:rPr>
      <w:drawing>
        <wp:anchor distT="0" distB="0" distL="114300" distR="114300" simplePos="0" relativeHeight="251659264" behindDoc="1" locked="0" layoutInCell="1" allowOverlap="1" wp14:anchorId="5CCBD728" wp14:editId="130A1282">
          <wp:simplePos x="0" y="0"/>
          <wp:positionH relativeFrom="column">
            <wp:posOffset>-228600</wp:posOffset>
          </wp:positionH>
          <wp:positionV relativeFrom="paragraph">
            <wp:posOffset>-57785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sidR="001C79F4" w:rsidRPr="00FB4132">
      <w:rPr>
        <w:rFonts w:asciiTheme="minorHAnsi" w:hAnsiTheme="minorHAnsi" w:cstheme="minorHAnsi"/>
      </w:rPr>
      <w:tab/>
    </w:r>
  </w:p>
  <w:p w14:paraId="7C9525BE" w14:textId="473E1B32" w:rsidR="00865676" w:rsidRPr="00FB4132" w:rsidRDefault="00A002D3" w:rsidP="00B2390F">
    <w:pPr>
      <w:pStyle w:val="Documenttitle"/>
      <w:jc w:val="right"/>
      <w:rPr>
        <w:rFonts w:asciiTheme="minorHAnsi" w:hAnsiTheme="minorHAnsi" w:cstheme="minorHAnsi"/>
        <w:b w:val="0"/>
        <w:sz w:val="24"/>
        <w:szCs w:val="24"/>
      </w:rPr>
    </w:pPr>
    <w:r w:rsidRPr="00FB4132">
      <w:rPr>
        <w:rFonts w:asciiTheme="minorHAnsi" w:hAnsiTheme="minorHAnsi" w:cstheme="minorHAnsi"/>
        <w:sz w:val="24"/>
        <w:szCs w:val="24"/>
      </w:rPr>
      <w:t xml:space="preserve">Ref: </w:t>
    </w:r>
    <w:r w:rsidR="00503E43">
      <w:rPr>
        <w:rFonts w:asciiTheme="minorHAnsi" w:hAnsiTheme="minorHAnsi" w:cstheme="minorHAnsi"/>
        <w:b w:val="0"/>
        <w:sz w:val="24"/>
        <w:szCs w:val="24"/>
      </w:rPr>
      <w:t>CIP</w:t>
    </w:r>
    <w:r w:rsidR="001312B7" w:rsidRPr="00FB4132">
      <w:rPr>
        <w:rFonts w:asciiTheme="minorHAnsi" w:hAnsiTheme="minorHAnsi" w:cstheme="minorHAnsi"/>
        <w:b w:val="0"/>
        <w:sz w:val="24"/>
        <w:szCs w:val="24"/>
      </w:rPr>
      <w:t>L</w:t>
    </w:r>
    <w:r w:rsidRPr="00FB4132">
      <w:rPr>
        <w:rFonts w:asciiTheme="minorHAnsi" w:hAnsiTheme="minorHAnsi" w:cstheme="minorHAnsi"/>
        <w:b w:val="0"/>
        <w:sz w:val="24"/>
        <w:szCs w:val="24"/>
      </w:rPr>
      <w:t>-MT</w:t>
    </w:r>
    <w:r w:rsidR="001C79F4" w:rsidRPr="00FB4132">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5F02"/>
    <w:multiLevelType w:val="hybridMultilevel"/>
    <w:tmpl w:val="E056F404"/>
    <w:lvl w:ilvl="0" w:tplc="E2AA1946">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C4747"/>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502FCA"/>
    <w:multiLevelType w:val="hybridMultilevel"/>
    <w:tmpl w:val="7556E274"/>
    <w:lvl w:ilvl="0" w:tplc="7368DAC6">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A22C42"/>
    <w:multiLevelType w:val="hybridMultilevel"/>
    <w:tmpl w:val="D26C396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157D3F"/>
    <w:multiLevelType w:val="hybridMultilevel"/>
    <w:tmpl w:val="4E3A6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BC70F7"/>
    <w:multiLevelType w:val="hybridMultilevel"/>
    <w:tmpl w:val="205CEFB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97211F"/>
    <w:multiLevelType w:val="hybridMultilevel"/>
    <w:tmpl w:val="B1467CF8"/>
    <w:lvl w:ilvl="0" w:tplc="40090001">
      <w:start w:val="1"/>
      <w:numFmt w:val="bullet"/>
      <w:lvlText w:val=""/>
      <w:lvlJc w:val="left"/>
      <w:pPr>
        <w:ind w:left="1080" w:hanging="72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9E0F23"/>
    <w:multiLevelType w:val="hybridMultilevel"/>
    <w:tmpl w:val="7DF8F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DE1C3D"/>
    <w:multiLevelType w:val="hybridMultilevel"/>
    <w:tmpl w:val="D33E7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5A01D6"/>
    <w:multiLevelType w:val="hybridMultilevel"/>
    <w:tmpl w:val="564CF192"/>
    <w:lvl w:ilvl="0" w:tplc="33105AC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CD1A09"/>
    <w:multiLevelType w:val="multilevel"/>
    <w:tmpl w:val="08A2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B320E"/>
    <w:multiLevelType w:val="hybridMultilevel"/>
    <w:tmpl w:val="5FB4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7"/>
  </w:num>
  <w:num w:numId="5">
    <w:abstractNumId w:val="9"/>
  </w:num>
  <w:num w:numId="6">
    <w:abstractNumId w:val="8"/>
  </w:num>
  <w:num w:numId="7">
    <w:abstractNumId w:val="6"/>
  </w:num>
  <w:num w:numId="8">
    <w:abstractNumId w:val="3"/>
  </w:num>
  <w:num w:numId="9">
    <w:abstractNumId w:val="5"/>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467B"/>
    <w:rsid w:val="00020E3B"/>
    <w:rsid w:val="00021BE0"/>
    <w:rsid w:val="00023C5B"/>
    <w:rsid w:val="00032FEE"/>
    <w:rsid w:val="000369B0"/>
    <w:rsid w:val="000408AC"/>
    <w:rsid w:val="000534C1"/>
    <w:rsid w:val="00056779"/>
    <w:rsid w:val="00062EBD"/>
    <w:rsid w:val="000631C0"/>
    <w:rsid w:val="00066E95"/>
    <w:rsid w:val="000709FC"/>
    <w:rsid w:val="00070A1F"/>
    <w:rsid w:val="0007454A"/>
    <w:rsid w:val="000820A6"/>
    <w:rsid w:val="00082717"/>
    <w:rsid w:val="0009241E"/>
    <w:rsid w:val="00092DA9"/>
    <w:rsid w:val="00092FA8"/>
    <w:rsid w:val="000A2D57"/>
    <w:rsid w:val="000A2E26"/>
    <w:rsid w:val="000A36BD"/>
    <w:rsid w:val="000B0F8B"/>
    <w:rsid w:val="000B36C3"/>
    <w:rsid w:val="000B531B"/>
    <w:rsid w:val="000C147D"/>
    <w:rsid w:val="000C7847"/>
    <w:rsid w:val="000D2954"/>
    <w:rsid w:val="000D3C9E"/>
    <w:rsid w:val="000E4398"/>
    <w:rsid w:val="000E48F5"/>
    <w:rsid w:val="000E5850"/>
    <w:rsid w:val="000E7257"/>
    <w:rsid w:val="000F6C0D"/>
    <w:rsid w:val="000F7CA3"/>
    <w:rsid w:val="00103F41"/>
    <w:rsid w:val="00107CE9"/>
    <w:rsid w:val="00113DEA"/>
    <w:rsid w:val="001238FB"/>
    <w:rsid w:val="00123A83"/>
    <w:rsid w:val="001273F4"/>
    <w:rsid w:val="00127731"/>
    <w:rsid w:val="001312B7"/>
    <w:rsid w:val="001439AC"/>
    <w:rsid w:val="00146944"/>
    <w:rsid w:val="001617C2"/>
    <w:rsid w:val="00163B77"/>
    <w:rsid w:val="00171BF4"/>
    <w:rsid w:val="0017503B"/>
    <w:rsid w:val="00184673"/>
    <w:rsid w:val="00191AE5"/>
    <w:rsid w:val="00191E16"/>
    <w:rsid w:val="00197F4C"/>
    <w:rsid w:val="001A7ED2"/>
    <w:rsid w:val="001B2B5B"/>
    <w:rsid w:val="001B39CE"/>
    <w:rsid w:val="001C2BDF"/>
    <w:rsid w:val="001C79F4"/>
    <w:rsid w:val="001D3186"/>
    <w:rsid w:val="001D40A0"/>
    <w:rsid w:val="001D414C"/>
    <w:rsid w:val="001D44C4"/>
    <w:rsid w:val="001D6D4E"/>
    <w:rsid w:val="001E043E"/>
    <w:rsid w:val="001E7F86"/>
    <w:rsid w:val="001F0243"/>
    <w:rsid w:val="001F2A0C"/>
    <w:rsid w:val="0020241A"/>
    <w:rsid w:val="00212D51"/>
    <w:rsid w:val="00212F7B"/>
    <w:rsid w:val="00214801"/>
    <w:rsid w:val="00214AEC"/>
    <w:rsid w:val="00216204"/>
    <w:rsid w:val="00217A05"/>
    <w:rsid w:val="00217D3B"/>
    <w:rsid w:val="00227AB2"/>
    <w:rsid w:val="00230496"/>
    <w:rsid w:val="002374B1"/>
    <w:rsid w:val="00246488"/>
    <w:rsid w:val="00250EAF"/>
    <w:rsid w:val="002518EA"/>
    <w:rsid w:val="002524F1"/>
    <w:rsid w:val="00260F13"/>
    <w:rsid w:val="00263E46"/>
    <w:rsid w:val="00266470"/>
    <w:rsid w:val="00266F3D"/>
    <w:rsid w:val="002775D1"/>
    <w:rsid w:val="00282FAE"/>
    <w:rsid w:val="00287645"/>
    <w:rsid w:val="00290651"/>
    <w:rsid w:val="00292A93"/>
    <w:rsid w:val="00296E80"/>
    <w:rsid w:val="002A706D"/>
    <w:rsid w:val="002A7359"/>
    <w:rsid w:val="002C1CD4"/>
    <w:rsid w:val="002C587A"/>
    <w:rsid w:val="002C78DE"/>
    <w:rsid w:val="002D1ED9"/>
    <w:rsid w:val="002D5D98"/>
    <w:rsid w:val="002D6BFD"/>
    <w:rsid w:val="002E03C8"/>
    <w:rsid w:val="002E05AE"/>
    <w:rsid w:val="002E0623"/>
    <w:rsid w:val="002F0917"/>
    <w:rsid w:val="002F5819"/>
    <w:rsid w:val="002F74A2"/>
    <w:rsid w:val="002F7BE6"/>
    <w:rsid w:val="0030141C"/>
    <w:rsid w:val="00305799"/>
    <w:rsid w:val="00313E5F"/>
    <w:rsid w:val="00314D9A"/>
    <w:rsid w:val="00325149"/>
    <w:rsid w:val="00327EE9"/>
    <w:rsid w:val="00331599"/>
    <w:rsid w:val="003420EB"/>
    <w:rsid w:val="0034417E"/>
    <w:rsid w:val="003510CB"/>
    <w:rsid w:val="0035468F"/>
    <w:rsid w:val="00354C6C"/>
    <w:rsid w:val="00362886"/>
    <w:rsid w:val="00365949"/>
    <w:rsid w:val="0038410B"/>
    <w:rsid w:val="00385F6A"/>
    <w:rsid w:val="00396DA0"/>
    <w:rsid w:val="003A1828"/>
    <w:rsid w:val="003A2DE5"/>
    <w:rsid w:val="003A40AF"/>
    <w:rsid w:val="003B09BA"/>
    <w:rsid w:val="003B184F"/>
    <w:rsid w:val="003B4885"/>
    <w:rsid w:val="003C1140"/>
    <w:rsid w:val="003C3807"/>
    <w:rsid w:val="003C4A97"/>
    <w:rsid w:val="003C7EB8"/>
    <w:rsid w:val="003D15AB"/>
    <w:rsid w:val="003D2604"/>
    <w:rsid w:val="003D4149"/>
    <w:rsid w:val="003E0D00"/>
    <w:rsid w:val="003E2B4E"/>
    <w:rsid w:val="003E3754"/>
    <w:rsid w:val="003E3BD6"/>
    <w:rsid w:val="003E76BE"/>
    <w:rsid w:val="00400012"/>
    <w:rsid w:val="00406E66"/>
    <w:rsid w:val="004103F6"/>
    <w:rsid w:val="00416931"/>
    <w:rsid w:val="00426C05"/>
    <w:rsid w:val="00443715"/>
    <w:rsid w:val="00451E59"/>
    <w:rsid w:val="004655E1"/>
    <w:rsid w:val="00473895"/>
    <w:rsid w:val="00480EA8"/>
    <w:rsid w:val="00482A7E"/>
    <w:rsid w:val="0048777C"/>
    <w:rsid w:val="004911DC"/>
    <w:rsid w:val="004916A9"/>
    <w:rsid w:val="00495107"/>
    <w:rsid w:val="00495B62"/>
    <w:rsid w:val="004961FA"/>
    <w:rsid w:val="004963AF"/>
    <w:rsid w:val="004A162A"/>
    <w:rsid w:val="004B7053"/>
    <w:rsid w:val="004B7B1D"/>
    <w:rsid w:val="004C0C1B"/>
    <w:rsid w:val="004C1BD7"/>
    <w:rsid w:val="004C43A3"/>
    <w:rsid w:val="004C7EB0"/>
    <w:rsid w:val="004D582D"/>
    <w:rsid w:val="004D7291"/>
    <w:rsid w:val="004E1FBC"/>
    <w:rsid w:val="004E4C92"/>
    <w:rsid w:val="004E54E4"/>
    <w:rsid w:val="004E7BED"/>
    <w:rsid w:val="004F5DDB"/>
    <w:rsid w:val="00502430"/>
    <w:rsid w:val="00503E43"/>
    <w:rsid w:val="00504940"/>
    <w:rsid w:val="00505BA0"/>
    <w:rsid w:val="0051101E"/>
    <w:rsid w:val="00513EA5"/>
    <w:rsid w:val="00514A83"/>
    <w:rsid w:val="00516BAA"/>
    <w:rsid w:val="00521857"/>
    <w:rsid w:val="00527CBF"/>
    <w:rsid w:val="00531B38"/>
    <w:rsid w:val="00531C9D"/>
    <w:rsid w:val="00532141"/>
    <w:rsid w:val="005326D5"/>
    <w:rsid w:val="00533835"/>
    <w:rsid w:val="005340B2"/>
    <w:rsid w:val="00536246"/>
    <w:rsid w:val="0054360A"/>
    <w:rsid w:val="00543CAC"/>
    <w:rsid w:val="0055007E"/>
    <w:rsid w:val="00551D2C"/>
    <w:rsid w:val="005528E7"/>
    <w:rsid w:val="00552A72"/>
    <w:rsid w:val="00557ACD"/>
    <w:rsid w:val="00561130"/>
    <w:rsid w:val="005626EC"/>
    <w:rsid w:val="00562C2D"/>
    <w:rsid w:val="00565A75"/>
    <w:rsid w:val="0056718A"/>
    <w:rsid w:val="00576962"/>
    <w:rsid w:val="00580305"/>
    <w:rsid w:val="005862F4"/>
    <w:rsid w:val="005868DB"/>
    <w:rsid w:val="00587B89"/>
    <w:rsid w:val="0059031C"/>
    <w:rsid w:val="005957B6"/>
    <w:rsid w:val="005957FD"/>
    <w:rsid w:val="005960C2"/>
    <w:rsid w:val="005A27B6"/>
    <w:rsid w:val="005B2CCC"/>
    <w:rsid w:val="005C07C2"/>
    <w:rsid w:val="005C20F9"/>
    <w:rsid w:val="005D0692"/>
    <w:rsid w:val="005E0066"/>
    <w:rsid w:val="005F35E2"/>
    <w:rsid w:val="005F6A84"/>
    <w:rsid w:val="00600A9D"/>
    <w:rsid w:val="006013BB"/>
    <w:rsid w:val="00604E29"/>
    <w:rsid w:val="006053B7"/>
    <w:rsid w:val="006060B4"/>
    <w:rsid w:val="0060681D"/>
    <w:rsid w:val="00615DDD"/>
    <w:rsid w:val="00624A02"/>
    <w:rsid w:val="0063086F"/>
    <w:rsid w:val="0063281A"/>
    <w:rsid w:val="006350CC"/>
    <w:rsid w:val="00637202"/>
    <w:rsid w:val="00643107"/>
    <w:rsid w:val="00646E75"/>
    <w:rsid w:val="00653770"/>
    <w:rsid w:val="00653971"/>
    <w:rsid w:val="0065482A"/>
    <w:rsid w:val="00664FAD"/>
    <w:rsid w:val="00671F88"/>
    <w:rsid w:val="006734E9"/>
    <w:rsid w:val="006762CA"/>
    <w:rsid w:val="00682E73"/>
    <w:rsid w:val="00684C35"/>
    <w:rsid w:val="00685F40"/>
    <w:rsid w:val="0068771D"/>
    <w:rsid w:val="00693C46"/>
    <w:rsid w:val="00693FF9"/>
    <w:rsid w:val="006A0A2C"/>
    <w:rsid w:val="006A441C"/>
    <w:rsid w:val="006B07E6"/>
    <w:rsid w:val="006B5008"/>
    <w:rsid w:val="006B530C"/>
    <w:rsid w:val="006B54EB"/>
    <w:rsid w:val="006B6652"/>
    <w:rsid w:val="006B6D0C"/>
    <w:rsid w:val="006C34CE"/>
    <w:rsid w:val="006C650E"/>
    <w:rsid w:val="006C685E"/>
    <w:rsid w:val="006C6EBA"/>
    <w:rsid w:val="006D10DA"/>
    <w:rsid w:val="006D4441"/>
    <w:rsid w:val="006D6D64"/>
    <w:rsid w:val="006E6912"/>
    <w:rsid w:val="006E6CA4"/>
    <w:rsid w:val="006F006E"/>
    <w:rsid w:val="006F7A0B"/>
    <w:rsid w:val="00700CB8"/>
    <w:rsid w:val="0070424F"/>
    <w:rsid w:val="007076A5"/>
    <w:rsid w:val="0071273F"/>
    <w:rsid w:val="00717945"/>
    <w:rsid w:val="00722E12"/>
    <w:rsid w:val="00724F5F"/>
    <w:rsid w:val="007278D3"/>
    <w:rsid w:val="007300F5"/>
    <w:rsid w:val="00736598"/>
    <w:rsid w:val="007442FB"/>
    <w:rsid w:val="00745DD4"/>
    <w:rsid w:val="00750ADD"/>
    <w:rsid w:val="0075245D"/>
    <w:rsid w:val="00752A6F"/>
    <w:rsid w:val="00764428"/>
    <w:rsid w:val="00770EE1"/>
    <w:rsid w:val="00771656"/>
    <w:rsid w:val="00776AC9"/>
    <w:rsid w:val="0078510E"/>
    <w:rsid w:val="00786BE0"/>
    <w:rsid w:val="00793759"/>
    <w:rsid w:val="00796B01"/>
    <w:rsid w:val="007979C4"/>
    <w:rsid w:val="007A229A"/>
    <w:rsid w:val="007B4A67"/>
    <w:rsid w:val="007C50B6"/>
    <w:rsid w:val="007C6A7A"/>
    <w:rsid w:val="007E10AF"/>
    <w:rsid w:val="007F0FF7"/>
    <w:rsid w:val="007F23CE"/>
    <w:rsid w:val="007F29A7"/>
    <w:rsid w:val="00800C86"/>
    <w:rsid w:val="0080220C"/>
    <w:rsid w:val="0080285A"/>
    <w:rsid w:val="00804455"/>
    <w:rsid w:val="008058C8"/>
    <w:rsid w:val="00806F93"/>
    <w:rsid w:val="0081173D"/>
    <w:rsid w:val="00811B45"/>
    <w:rsid w:val="0081394E"/>
    <w:rsid w:val="008142A8"/>
    <w:rsid w:val="00815C9C"/>
    <w:rsid w:val="00816214"/>
    <w:rsid w:val="00817A7E"/>
    <w:rsid w:val="008312BC"/>
    <w:rsid w:val="00835FA7"/>
    <w:rsid w:val="0083666E"/>
    <w:rsid w:val="00843557"/>
    <w:rsid w:val="00846712"/>
    <w:rsid w:val="008571DB"/>
    <w:rsid w:val="00865676"/>
    <w:rsid w:val="008666B0"/>
    <w:rsid w:val="00866CFE"/>
    <w:rsid w:val="00870D09"/>
    <w:rsid w:val="0087782A"/>
    <w:rsid w:val="00886116"/>
    <w:rsid w:val="00890F42"/>
    <w:rsid w:val="00897B80"/>
    <w:rsid w:val="008A1DA5"/>
    <w:rsid w:val="008A5479"/>
    <w:rsid w:val="008A5A6F"/>
    <w:rsid w:val="008A69AD"/>
    <w:rsid w:val="008A7FB7"/>
    <w:rsid w:val="008B1566"/>
    <w:rsid w:val="008B248C"/>
    <w:rsid w:val="008B3412"/>
    <w:rsid w:val="008B5450"/>
    <w:rsid w:val="008C11F6"/>
    <w:rsid w:val="008C1B65"/>
    <w:rsid w:val="008D70A1"/>
    <w:rsid w:val="008E22E8"/>
    <w:rsid w:val="008E3D7D"/>
    <w:rsid w:val="008E4552"/>
    <w:rsid w:val="008E4F69"/>
    <w:rsid w:val="008F0D56"/>
    <w:rsid w:val="008F12AD"/>
    <w:rsid w:val="008F5502"/>
    <w:rsid w:val="008F6115"/>
    <w:rsid w:val="0090418F"/>
    <w:rsid w:val="0090755C"/>
    <w:rsid w:val="00912398"/>
    <w:rsid w:val="0091254A"/>
    <w:rsid w:val="0091534C"/>
    <w:rsid w:val="00932C24"/>
    <w:rsid w:val="00934167"/>
    <w:rsid w:val="0093437A"/>
    <w:rsid w:val="00934FC7"/>
    <w:rsid w:val="009425AA"/>
    <w:rsid w:val="00943055"/>
    <w:rsid w:val="00945D80"/>
    <w:rsid w:val="00952231"/>
    <w:rsid w:val="009538D2"/>
    <w:rsid w:val="009540FF"/>
    <w:rsid w:val="009647DF"/>
    <w:rsid w:val="009675B9"/>
    <w:rsid w:val="00970800"/>
    <w:rsid w:val="0097465A"/>
    <w:rsid w:val="00991865"/>
    <w:rsid w:val="00992499"/>
    <w:rsid w:val="00993485"/>
    <w:rsid w:val="009A08C8"/>
    <w:rsid w:val="009A344B"/>
    <w:rsid w:val="009B4C19"/>
    <w:rsid w:val="009B6428"/>
    <w:rsid w:val="009B7BB3"/>
    <w:rsid w:val="009B7FC0"/>
    <w:rsid w:val="009C4118"/>
    <w:rsid w:val="009C5836"/>
    <w:rsid w:val="009D2314"/>
    <w:rsid w:val="009D388F"/>
    <w:rsid w:val="009D4455"/>
    <w:rsid w:val="009D5751"/>
    <w:rsid w:val="009D5F01"/>
    <w:rsid w:val="009D62E7"/>
    <w:rsid w:val="009E031F"/>
    <w:rsid w:val="009F2CCB"/>
    <w:rsid w:val="009F6C7F"/>
    <w:rsid w:val="009F781D"/>
    <w:rsid w:val="00A002D3"/>
    <w:rsid w:val="00A060CC"/>
    <w:rsid w:val="00A208B6"/>
    <w:rsid w:val="00A211B4"/>
    <w:rsid w:val="00A230AE"/>
    <w:rsid w:val="00A2725C"/>
    <w:rsid w:val="00A27AC8"/>
    <w:rsid w:val="00A34337"/>
    <w:rsid w:val="00A366C2"/>
    <w:rsid w:val="00A40327"/>
    <w:rsid w:val="00A50661"/>
    <w:rsid w:val="00A52714"/>
    <w:rsid w:val="00A534B9"/>
    <w:rsid w:val="00A546CF"/>
    <w:rsid w:val="00A56321"/>
    <w:rsid w:val="00A605D0"/>
    <w:rsid w:val="00A6226E"/>
    <w:rsid w:val="00A638A9"/>
    <w:rsid w:val="00A63C01"/>
    <w:rsid w:val="00A76225"/>
    <w:rsid w:val="00A8023C"/>
    <w:rsid w:val="00A8126D"/>
    <w:rsid w:val="00A81FC1"/>
    <w:rsid w:val="00A84D8C"/>
    <w:rsid w:val="00A901A8"/>
    <w:rsid w:val="00A974A4"/>
    <w:rsid w:val="00A97A96"/>
    <w:rsid w:val="00AA1A48"/>
    <w:rsid w:val="00AA47DD"/>
    <w:rsid w:val="00AA4E83"/>
    <w:rsid w:val="00AA7FD1"/>
    <w:rsid w:val="00AB0ABC"/>
    <w:rsid w:val="00AB3A50"/>
    <w:rsid w:val="00AB54FD"/>
    <w:rsid w:val="00AC5E87"/>
    <w:rsid w:val="00AC6434"/>
    <w:rsid w:val="00AD0594"/>
    <w:rsid w:val="00AD0743"/>
    <w:rsid w:val="00AD41E5"/>
    <w:rsid w:val="00AD5B8D"/>
    <w:rsid w:val="00AD5C45"/>
    <w:rsid w:val="00AE511C"/>
    <w:rsid w:val="00AE5C8D"/>
    <w:rsid w:val="00AF3722"/>
    <w:rsid w:val="00AF6158"/>
    <w:rsid w:val="00AF7C18"/>
    <w:rsid w:val="00B0137D"/>
    <w:rsid w:val="00B04B33"/>
    <w:rsid w:val="00B1096E"/>
    <w:rsid w:val="00B16BEC"/>
    <w:rsid w:val="00B20281"/>
    <w:rsid w:val="00B2289C"/>
    <w:rsid w:val="00B2390F"/>
    <w:rsid w:val="00B24BDD"/>
    <w:rsid w:val="00B2714A"/>
    <w:rsid w:val="00B31154"/>
    <w:rsid w:val="00B32C5E"/>
    <w:rsid w:val="00B34947"/>
    <w:rsid w:val="00B36075"/>
    <w:rsid w:val="00B45A06"/>
    <w:rsid w:val="00B471E9"/>
    <w:rsid w:val="00B523B8"/>
    <w:rsid w:val="00B56534"/>
    <w:rsid w:val="00B614CD"/>
    <w:rsid w:val="00B755F4"/>
    <w:rsid w:val="00B75AC9"/>
    <w:rsid w:val="00B87903"/>
    <w:rsid w:val="00B9025F"/>
    <w:rsid w:val="00B917C1"/>
    <w:rsid w:val="00B921C4"/>
    <w:rsid w:val="00B96A3E"/>
    <w:rsid w:val="00B97A04"/>
    <w:rsid w:val="00BA6ED3"/>
    <w:rsid w:val="00BB6913"/>
    <w:rsid w:val="00BC3435"/>
    <w:rsid w:val="00BC47C9"/>
    <w:rsid w:val="00BC6603"/>
    <w:rsid w:val="00BC7A5D"/>
    <w:rsid w:val="00BD003D"/>
    <w:rsid w:val="00BD6830"/>
    <w:rsid w:val="00BE2C8A"/>
    <w:rsid w:val="00BE7748"/>
    <w:rsid w:val="00BF0972"/>
    <w:rsid w:val="00BF53B7"/>
    <w:rsid w:val="00C04D81"/>
    <w:rsid w:val="00C0542E"/>
    <w:rsid w:val="00C13743"/>
    <w:rsid w:val="00C14A1C"/>
    <w:rsid w:val="00C35925"/>
    <w:rsid w:val="00C35A59"/>
    <w:rsid w:val="00C458B6"/>
    <w:rsid w:val="00C4604E"/>
    <w:rsid w:val="00C65320"/>
    <w:rsid w:val="00C6587C"/>
    <w:rsid w:val="00C731E1"/>
    <w:rsid w:val="00C73900"/>
    <w:rsid w:val="00C739AC"/>
    <w:rsid w:val="00C773EA"/>
    <w:rsid w:val="00C813B6"/>
    <w:rsid w:val="00C978CB"/>
    <w:rsid w:val="00CA16FC"/>
    <w:rsid w:val="00CA3E46"/>
    <w:rsid w:val="00CA51AC"/>
    <w:rsid w:val="00CB6E32"/>
    <w:rsid w:val="00CB7B36"/>
    <w:rsid w:val="00CD1A78"/>
    <w:rsid w:val="00CD3498"/>
    <w:rsid w:val="00CD37EA"/>
    <w:rsid w:val="00CE2647"/>
    <w:rsid w:val="00CE6E08"/>
    <w:rsid w:val="00CF521E"/>
    <w:rsid w:val="00D0059C"/>
    <w:rsid w:val="00D05134"/>
    <w:rsid w:val="00D07808"/>
    <w:rsid w:val="00D100B0"/>
    <w:rsid w:val="00D10233"/>
    <w:rsid w:val="00D10817"/>
    <w:rsid w:val="00D132D1"/>
    <w:rsid w:val="00D13B8F"/>
    <w:rsid w:val="00D14CB1"/>
    <w:rsid w:val="00D24864"/>
    <w:rsid w:val="00D25547"/>
    <w:rsid w:val="00D2712E"/>
    <w:rsid w:val="00D339A1"/>
    <w:rsid w:val="00D34521"/>
    <w:rsid w:val="00D3690D"/>
    <w:rsid w:val="00D4252D"/>
    <w:rsid w:val="00D42A52"/>
    <w:rsid w:val="00D43845"/>
    <w:rsid w:val="00D52341"/>
    <w:rsid w:val="00D52F11"/>
    <w:rsid w:val="00D5520B"/>
    <w:rsid w:val="00D57380"/>
    <w:rsid w:val="00D574A8"/>
    <w:rsid w:val="00D60FDC"/>
    <w:rsid w:val="00D70F6B"/>
    <w:rsid w:val="00D70FFA"/>
    <w:rsid w:val="00D7442D"/>
    <w:rsid w:val="00D7743D"/>
    <w:rsid w:val="00D82AD1"/>
    <w:rsid w:val="00D85EB1"/>
    <w:rsid w:val="00D875F7"/>
    <w:rsid w:val="00D9112B"/>
    <w:rsid w:val="00D972F0"/>
    <w:rsid w:val="00D97E17"/>
    <w:rsid w:val="00DA1C92"/>
    <w:rsid w:val="00DA29B2"/>
    <w:rsid w:val="00DA5AB0"/>
    <w:rsid w:val="00DA6454"/>
    <w:rsid w:val="00DB7C3D"/>
    <w:rsid w:val="00DC1371"/>
    <w:rsid w:val="00DC1EDF"/>
    <w:rsid w:val="00DC5BF0"/>
    <w:rsid w:val="00DD2435"/>
    <w:rsid w:val="00DD2EBB"/>
    <w:rsid w:val="00DD5DF9"/>
    <w:rsid w:val="00DD6225"/>
    <w:rsid w:val="00DE676C"/>
    <w:rsid w:val="00E03DAC"/>
    <w:rsid w:val="00E1574B"/>
    <w:rsid w:val="00E26ED4"/>
    <w:rsid w:val="00E378F0"/>
    <w:rsid w:val="00E40316"/>
    <w:rsid w:val="00E447B5"/>
    <w:rsid w:val="00E459F1"/>
    <w:rsid w:val="00E52528"/>
    <w:rsid w:val="00E600A0"/>
    <w:rsid w:val="00E603DF"/>
    <w:rsid w:val="00E64334"/>
    <w:rsid w:val="00E64C7F"/>
    <w:rsid w:val="00E679E4"/>
    <w:rsid w:val="00E70D27"/>
    <w:rsid w:val="00E770EE"/>
    <w:rsid w:val="00E80177"/>
    <w:rsid w:val="00E83BEB"/>
    <w:rsid w:val="00E86798"/>
    <w:rsid w:val="00E92EA3"/>
    <w:rsid w:val="00EA35D4"/>
    <w:rsid w:val="00EA66A2"/>
    <w:rsid w:val="00EA673F"/>
    <w:rsid w:val="00EB354D"/>
    <w:rsid w:val="00EB7774"/>
    <w:rsid w:val="00EC07E4"/>
    <w:rsid w:val="00EC18E9"/>
    <w:rsid w:val="00ED0783"/>
    <w:rsid w:val="00ED15D4"/>
    <w:rsid w:val="00ED6361"/>
    <w:rsid w:val="00ED7A6B"/>
    <w:rsid w:val="00EE1317"/>
    <w:rsid w:val="00EE16C6"/>
    <w:rsid w:val="00F0017E"/>
    <w:rsid w:val="00F10958"/>
    <w:rsid w:val="00F11D75"/>
    <w:rsid w:val="00F1739D"/>
    <w:rsid w:val="00F25252"/>
    <w:rsid w:val="00F25F4D"/>
    <w:rsid w:val="00F30B69"/>
    <w:rsid w:val="00F31B73"/>
    <w:rsid w:val="00F32888"/>
    <w:rsid w:val="00F37B99"/>
    <w:rsid w:val="00F44DBC"/>
    <w:rsid w:val="00F63C18"/>
    <w:rsid w:val="00F655D8"/>
    <w:rsid w:val="00F7104B"/>
    <w:rsid w:val="00F734B5"/>
    <w:rsid w:val="00F77E5F"/>
    <w:rsid w:val="00F80206"/>
    <w:rsid w:val="00F80E4E"/>
    <w:rsid w:val="00F81FC9"/>
    <w:rsid w:val="00F844F0"/>
    <w:rsid w:val="00F8519A"/>
    <w:rsid w:val="00F85455"/>
    <w:rsid w:val="00F86572"/>
    <w:rsid w:val="00F94939"/>
    <w:rsid w:val="00FA12E3"/>
    <w:rsid w:val="00FA794E"/>
    <w:rsid w:val="00FB4132"/>
    <w:rsid w:val="00FC2C3C"/>
    <w:rsid w:val="00FC50FC"/>
    <w:rsid w:val="00FC7F7D"/>
    <w:rsid w:val="00FD0E99"/>
    <w:rsid w:val="00FD7A18"/>
    <w:rsid w:val="00FE6356"/>
    <w:rsid w:val="00FE6643"/>
    <w:rsid w:val="00FF0C61"/>
    <w:rsid w:val="00FF105D"/>
    <w:rsid w:val="00FF13F5"/>
    <w:rsid w:val="130E258F"/>
    <w:rsid w:val="18ACCA37"/>
    <w:rsid w:val="2719D440"/>
    <w:rsid w:val="4E21270C"/>
    <w:rsid w:val="6DEF2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D12F9"/>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paragraph" w:styleId="NoSpacing">
    <w:name w:val="No Spacing"/>
    <w:uiPriority w:val="1"/>
    <w:qFormat/>
    <w:rsid w:val="00E40316"/>
    <w:pPr>
      <w:spacing w:after="0" w:line="240" w:lineRule="auto"/>
    </w:pPr>
  </w:style>
  <w:style w:type="character" w:styleId="CommentReference">
    <w:name w:val="annotation reference"/>
    <w:basedOn w:val="DefaultParagraphFont"/>
    <w:uiPriority w:val="99"/>
    <w:semiHidden/>
    <w:unhideWhenUsed/>
    <w:rsid w:val="00684C35"/>
    <w:rPr>
      <w:sz w:val="16"/>
      <w:szCs w:val="16"/>
    </w:rPr>
  </w:style>
  <w:style w:type="paragraph" w:styleId="CommentText">
    <w:name w:val="annotation text"/>
    <w:basedOn w:val="Normal"/>
    <w:link w:val="CommentTextChar"/>
    <w:uiPriority w:val="99"/>
    <w:semiHidden/>
    <w:unhideWhenUsed/>
    <w:rsid w:val="00684C35"/>
    <w:pPr>
      <w:spacing w:line="240" w:lineRule="auto"/>
    </w:pPr>
    <w:rPr>
      <w:sz w:val="20"/>
      <w:szCs w:val="20"/>
    </w:rPr>
  </w:style>
  <w:style w:type="character" w:customStyle="1" w:styleId="CommentTextChar">
    <w:name w:val="Comment Text Char"/>
    <w:basedOn w:val="DefaultParagraphFont"/>
    <w:link w:val="CommentText"/>
    <w:uiPriority w:val="99"/>
    <w:semiHidden/>
    <w:rsid w:val="00684C35"/>
    <w:rPr>
      <w:sz w:val="20"/>
      <w:szCs w:val="20"/>
    </w:rPr>
  </w:style>
  <w:style w:type="paragraph" w:styleId="CommentSubject">
    <w:name w:val="annotation subject"/>
    <w:basedOn w:val="CommentText"/>
    <w:next w:val="CommentText"/>
    <w:link w:val="CommentSubjectChar"/>
    <w:uiPriority w:val="99"/>
    <w:semiHidden/>
    <w:unhideWhenUsed/>
    <w:rsid w:val="00684C35"/>
    <w:rPr>
      <w:b/>
      <w:bCs/>
    </w:rPr>
  </w:style>
  <w:style w:type="character" w:customStyle="1" w:styleId="CommentSubjectChar">
    <w:name w:val="Comment Subject Char"/>
    <w:basedOn w:val="CommentTextChar"/>
    <w:link w:val="CommentSubject"/>
    <w:uiPriority w:val="99"/>
    <w:semiHidden/>
    <w:rsid w:val="00684C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7786">
      <w:bodyDiv w:val="1"/>
      <w:marLeft w:val="0"/>
      <w:marRight w:val="0"/>
      <w:marTop w:val="0"/>
      <w:marBottom w:val="0"/>
      <w:divBdr>
        <w:top w:val="none" w:sz="0" w:space="0" w:color="auto"/>
        <w:left w:val="none" w:sz="0" w:space="0" w:color="auto"/>
        <w:bottom w:val="none" w:sz="0" w:space="0" w:color="auto"/>
        <w:right w:val="none" w:sz="0" w:space="0" w:color="auto"/>
      </w:divBdr>
    </w:div>
    <w:div w:id="158891743">
      <w:bodyDiv w:val="1"/>
      <w:marLeft w:val="0"/>
      <w:marRight w:val="0"/>
      <w:marTop w:val="0"/>
      <w:marBottom w:val="0"/>
      <w:divBdr>
        <w:top w:val="none" w:sz="0" w:space="0" w:color="auto"/>
        <w:left w:val="none" w:sz="0" w:space="0" w:color="auto"/>
        <w:bottom w:val="none" w:sz="0" w:space="0" w:color="auto"/>
        <w:right w:val="none" w:sz="0" w:space="0" w:color="auto"/>
      </w:divBdr>
    </w:div>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172839659">
      <w:bodyDiv w:val="1"/>
      <w:marLeft w:val="0"/>
      <w:marRight w:val="0"/>
      <w:marTop w:val="0"/>
      <w:marBottom w:val="0"/>
      <w:divBdr>
        <w:top w:val="none" w:sz="0" w:space="0" w:color="auto"/>
        <w:left w:val="none" w:sz="0" w:space="0" w:color="auto"/>
        <w:bottom w:val="none" w:sz="0" w:space="0" w:color="auto"/>
        <w:right w:val="none" w:sz="0" w:space="0" w:color="auto"/>
      </w:divBdr>
    </w:div>
    <w:div w:id="193273251">
      <w:bodyDiv w:val="1"/>
      <w:marLeft w:val="0"/>
      <w:marRight w:val="0"/>
      <w:marTop w:val="0"/>
      <w:marBottom w:val="0"/>
      <w:divBdr>
        <w:top w:val="none" w:sz="0" w:space="0" w:color="auto"/>
        <w:left w:val="none" w:sz="0" w:space="0" w:color="auto"/>
        <w:bottom w:val="none" w:sz="0" w:space="0" w:color="auto"/>
        <w:right w:val="none" w:sz="0" w:space="0" w:color="auto"/>
      </w:divBdr>
    </w:div>
    <w:div w:id="200091885">
      <w:bodyDiv w:val="1"/>
      <w:marLeft w:val="0"/>
      <w:marRight w:val="0"/>
      <w:marTop w:val="0"/>
      <w:marBottom w:val="0"/>
      <w:divBdr>
        <w:top w:val="none" w:sz="0" w:space="0" w:color="auto"/>
        <w:left w:val="none" w:sz="0" w:space="0" w:color="auto"/>
        <w:bottom w:val="none" w:sz="0" w:space="0" w:color="auto"/>
        <w:right w:val="none" w:sz="0" w:space="0" w:color="auto"/>
      </w:divBdr>
    </w:div>
    <w:div w:id="265889437">
      <w:bodyDiv w:val="1"/>
      <w:marLeft w:val="0"/>
      <w:marRight w:val="0"/>
      <w:marTop w:val="0"/>
      <w:marBottom w:val="0"/>
      <w:divBdr>
        <w:top w:val="none" w:sz="0" w:space="0" w:color="auto"/>
        <w:left w:val="none" w:sz="0" w:space="0" w:color="auto"/>
        <w:bottom w:val="none" w:sz="0" w:space="0" w:color="auto"/>
        <w:right w:val="none" w:sz="0" w:space="0" w:color="auto"/>
      </w:divBdr>
    </w:div>
    <w:div w:id="411703133">
      <w:bodyDiv w:val="1"/>
      <w:marLeft w:val="0"/>
      <w:marRight w:val="0"/>
      <w:marTop w:val="0"/>
      <w:marBottom w:val="0"/>
      <w:divBdr>
        <w:top w:val="none" w:sz="0" w:space="0" w:color="auto"/>
        <w:left w:val="none" w:sz="0" w:space="0" w:color="auto"/>
        <w:bottom w:val="none" w:sz="0" w:space="0" w:color="auto"/>
        <w:right w:val="none" w:sz="0" w:space="0" w:color="auto"/>
      </w:divBdr>
    </w:div>
    <w:div w:id="432242340">
      <w:bodyDiv w:val="1"/>
      <w:marLeft w:val="0"/>
      <w:marRight w:val="0"/>
      <w:marTop w:val="0"/>
      <w:marBottom w:val="0"/>
      <w:divBdr>
        <w:top w:val="none" w:sz="0" w:space="0" w:color="auto"/>
        <w:left w:val="none" w:sz="0" w:space="0" w:color="auto"/>
        <w:bottom w:val="none" w:sz="0" w:space="0" w:color="auto"/>
        <w:right w:val="none" w:sz="0" w:space="0" w:color="auto"/>
      </w:divBdr>
    </w:div>
    <w:div w:id="441412939">
      <w:bodyDiv w:val="1"/>
      <w:marLeft w:val="0"/>
      <w:marRight w:val="0"/>
      <w:marTop w:val="0"/>
      <w:marBottom w:val="0"/>
      <w:divBdr>
        <w:top w:val="none" w:sz="0" w:space="0" w:color="auto"/>
        <w:left w:val="none" w:sz="0" w:space="0" w:color="auto"/>
        <w:bottom w:val="none" w:sz="0" w:space="0" w:color="auto"/>
        <w:right w:val="none" w:sz="0" w:space="0" w:color="auto"/>
      </w:divBdr>
    </w:div>
    <w:div w:id="485635735">
      <w:bodyDiv w:val="1"/>
      <w:marLeft w:val="0"/>
      <w:marRight w:val="0"/>
      <w:marTop w:val="0"/>
      <w:marBottom w:val="0"/>
      <w:divBdr>
        <w:top w:val="none" w:sz="0" w:space="0" w:color="auto"/>
        <w:left w:val="none" w:sz="0" w:space="0" w:color="auto"/>
        <w:bottom w:val="none" w:sz="0" w:space="0" w:color="auto"/>
        <w:right w:val="none" w:sz="0" w:space="0" w:color="auto"/>
      </w:divBdr>
    </w:div>
    <w:div w:id="606694474">
      <w:bodyDiv w:val="1"/>
      <w:marLeft w:val="0"/>
      <w:marRight w:val="0"/>
      <w:marTop w:val="0"/>
      <w:marBottom w:val="0"/>
      <w:divBdr>
        <w:top w:val="none" w:sz="0" w:space="0" w:color="auto"/>
        <w:left w:val="none" w:sz="0" w:space="0" w:color="auto"/>
        <w:bottom w:val="none" w:sz="0" w:space="0" w:color="auto"/>
        <w:right w:val="none" w:sz="0" w:space="0" w:color="auto"/>
      </w:divBdr>
    </w:div>
    <w:div w:id="648635832">
      <w:bodyDiv w:val="1"/>
      <w:marLeft w:val="0"/>
      <w:marRight w:val="0"/>
      <w:marTop w:val="0"/>
      <w:marBottom w:val="0"/>
      <w:divBdr>
        <w:top w:val="none" w:sz="0" w:space="0" w:color="auto"/>
        <w:left w:val="none" w:sz="0" w:space="0" w:color="auto"/>
        <w:bottom w:val="none" w:sz="0" w:space="0" w:color="auto"/>
        <w:right w:val="none" w:sz="0" w:space="0" w:color="auto"/>
      </w:divBdr>
    </w:div>
    <w:div w:id="671878154">
      <w:bodyDiv w:val="1"/>
      <w:marLeft w:val="0"/>
      <w:marRight w:val="0"/>
      <w:marTop w:val="0"/>
      <w:marBottom w:val="0"/>
      <w:divBdr>
        <w:top w:val="none" w:sz="0" w:space="0" w:color="auto"/>
        <w:left w:val="none" w:sz="0" w:space="0" w:color="auto"/>
        <w:bottom w:val="none" w:sz="0" w:space="0" w:color="auto"/>
        <w:right w:val="none" w:sz="0" w:space="0" w:color="auto"/>
      </w:divBdr>
    </w:div>
    <w:div w:id="743185828">
      <w:bodyDiv w:val="1"/>
      <w:marLeft w:val="0"/>
      <w:marRight w:val="0"/>
      <w:marTop w:val="0"/>
      <w:marBottom w:val="0"/>
      <w:divBdr>
        <w:top w:val="none" w:sz="0" w:space="0" w:color="auto"/>
        <w:left w:val="none" w:sz="0" w:space="0" w:color="auto"/>
        <w:bottom w:val="none" w:sz="0" w:space="0" w:color="auto"/>
        <w:right w:val="none" w:sz="0" w:space="0" w:color="auto"/>
      </w:divBdr>
    </w:div>
    <w:div w:id="776406479">
      <w:bodyDiv w:val="1"/>
      <w:marLeft w:val="0"/>
      <w:marRight w:val="0"/>
      <w:marTop w:val="0"/>
      <w:marBottom w:val="0"/>
      <w:divBdr>
        <w:top w:val="none" w:sz="0" w:space="0" w:color="auto"/>
        <w:left w:val="none" w:sz="0" w:space="0" w:color="auto"/>
        <w:bottom w:val="none" w:sz="0" w:space="0" w:color="auto"/>
        <w:right w:val="none" w:sz="0" w:space="0" w:color="auto"/>
      </w:divBdr>
    </w:div>
    <w:div w:id="861287889">
      <w:bodyDiv w:val="1"/>
      <w:marLeft w:val="0"/>
      <w:marRight w:val="0"/>
      <w:marTop w:val="0"/>
      <w:marBottom w:val="0"/>
      <w:divBdr>
        <w:top w:val="none" w:sz="0" w:space="0" w:color="auto"/>
        <w:left w:val="none" w:sz="0" w:space="0" w:color="auto"/>
        <w:bottom w:val="none" w:sz="0" w:space="0" w:color="auto"/>
        <w:right w:val="none" w:sz="0" w:space="0" w:color="auto"/>
      </w:divBdr>
    </w:div>
    <w:div w:id="895820485">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07252693">
      <w:bodyDiv w:val="1"/>
      <w:marLeft w:val="0"/>
      <w:marRight w:val="0"/>
      <w:marTop w:val="0"/>
      <w:marBottom w:val="0"/>
      <w:divBdr>
        <w:top w:val="none" w:sz="0" w:space="0" w:color="auto"/>
        <w:left w:val="none" w:sz="0" w:space="0" w:color="auto"/>
        <w:bottom w:val="none" w:sz="0" w:space="0" w:color="auto"/>
        <w:right w:val="none" w:sz="0" w:space="0" w:color="auto"/>
      </w:divBdr>
    </w:div>
    <w:div w:id="1081946086">
      <w:bodyDiv w:val="1"/>
      <w:marLeft w:val="0"/>
      <w:marRight w:val="0"/>
      <w:marTop w:val="0"/>
      <w:marBottom w:val="0"/>
      <w:divBdr>
        <w:top w:val="none" w:sz="0" w:space="0" w:color="auto"/>
        <w:left w:val="none" w:sz="0" w:space="0" w:color="auto"/>
        <w:bottom w:val="none" w:sz="0" w:space="0" w:color="auto"/>
        <w:right w:val="none" w:sz="0" w:space="0" w:color="auto"/>
      </w:divBdr>
    </w:div>
    <w:div w:id="1093630354">
      <w:bodyDiv w:val="1"/>
      <w:marLeft w:val="0"/>
      <w:marRight w:val="0"/>
      <w:marTop w:val="0"/>
      <w:marBottom w:val="0"/>
      <w:divBdr>
        <w:top w:val="none" w:sz="0" w:space="0" w:color="auto"/>
        <w:left w:val="none" w:sz="0" w:space="0" w:color="auto"/>
        <w:bottom w:val="none" w:sz="0" w:space="0" w:color="auto"/>
        <w:right w:val="none" w:sz="0" w:space="0" w:color="auto"/>
      </w:divBdr>
    </w:div>
    <w:div w:id="1167942295">
      <w:bodyDiv w:val="1"/>
      <w:marLeft w:val="0"/>
      <w:marRight w:val="0"/>
      <w:marTop w:val="0"/>
      <w:marBottom w:val="0"/>
      <w:divBdr>
        <w:top w:val="none" w:sz="0" w:space="0" w:color="auto"/>
        <w:left w:val="none" w:sz="0" w:space="0" w:color="auto"/>
        <w:bottom w:val="none" w:sz="0" w:space="0" w:color="auto"/>
        <w:right w:val="none" w:sz="0" w:space="0" w:color="auto"/>
      </w:divBdr>
    </w:div>
    <w:div w:id="1169178434">
      <w:bodyDiv w:val="1"/>
      <w:marLeft w:val="0"/>
      <w:marRight w:val="0"/>
      <w:marTop w:val="0"/>
      <w:marBottom w:val="0"/>
      <w:divBdr>
        <w:top w:val="none" w:sz="0" w:space="0" w:color="auto"/>
        <w:left w:val="none" w:sz="0" w:space="0" w:color="auto"/>
        <w:bottom w:val="none" w:sz="0" w:space="0" w:color="auto"/>
        <w:right w:val="none" w:sz="0" w:space="0" w:color="auto"/>
      </w:divBdr>
    </w:div>
    <w:div w:id="1282566531">
      <w:bodyDiv w:val="1"/>
      <w:marLeft w:val="0"/>
      <w:marRight w:val="0"/>
      <w:marTop w:val="0"/>
      <w:marBottom w:val="0"/>
      <w:divBdr>
        <w:top w:val="none" w:sz="0" w:space="0" w:color="auto"/>
        <w:left w:val="none" w:sz="0" w:space="0" w:color="auto"/>
        <w:bottom w:val="none" w:sz="0" w:space="0" w:color="auto"/>
        <w:right w:val="none" w:sz="0" w:space="0" w:color="auto"/>
      </w:divBdr>
    </w:div>
    <w:div w:id="1308123927">
      <w:bodyDiv w:val="1"/>
      <w:marLeft w:val="0"/>
      <w:marRight w:val="0"/>
      <w:marTop w:val="0"/>
      <w:marBottom w:val="0"/>
      <w:divBdr>
        <w:top w:val="none" w:sz="0" w:space="0" w:color="auto"/>
        <w:left w:val="none" w:sz="0" w:space="0" w:color="auto"/>
        <w:bottom w:val="none" w:sz="0" w:space="0" w:color="auto"/>
        <w:right w:val="none" w:sz="0" w:space="0" w:color="auto"/>
      </w:divBdr>
    </w:div>
    <w:div w:id="1483808793">
      <w:bodyDiv w:val="1"/>
      <w:marLeft w:val="0"/>
      <w:marRight w:val="0"/>
      <w:marTop w:val="0"/>
      <w:marBottom w:val="0"/>
      <w:divBdr>
        <w:top w:val="none" w:sz="0" w:space="0" w:color="auto"/>
        <w:left w:val="none" w:sz="0" w:space="0" w:color="auto"/>
        <w:bottom w:val="none" w:sz="0" w:space="0" w:color="auto"/>
        <w:right w:val="none" w:sz="0" w:space="0" w:color="auto"/>
      </w:divBdr>
    </w:div>
    <w:div w:id="1559703535">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 w:id="1751003834">
      <w:bodyDiv w:val="1"/>
      <w:marLeft w:val="0"/>
      <w:marRight w:val="0"/>
      <w:marTop w:val="0"/>
      <w:marBottom w:val="0"/>
      <w:divBdr>
        <w:top w:val="none" w:sz="0" w:space="0" w:color="auto"/>
        <w:left w:val="none" w:sz="0" w:space="0" w:color="auto"/>
        <w:bottom w:val="none" w:sz="0" w:space="0" w:color="auto"/>
        <w:right w:val="none" w:sz="0" w:space="0" w:color="auto"/>
      </w:divBdr>
    </w:div>
    <w:div w:id="1781878669">
      <w:bodyDiv w:val="1"/>
      <w:marLeft w:val="0"/>
      <w:marRight w:val="0"/>
      <w:marTop w:val="0"/>
      <w:marBottom w:val="0"/>
      <w:divBdr>
        <w:top w:val="none" w:sz="0" w:space="0" w:color="auto"/>
        <w:left w:val="none" w:sz="0" w:space="0" w:color="auto"/>
        <w:bottom w:val="none" w:sz="0" w:space="0" w:color="auto"/>
        <w:right w:val="none" w:sz="0" w:space="0" w:color="auto"/>
      </w:divBdr>
    </w:div>
    <w:div w:id="1844972560">
      <w:bodyDiv w:val="1"/>
      <w:marLeft w:val="0"/>
      <w:marRight w:val="0"/>
      <w:marTop w:val="0"/>
      <w:marBottom w:val="0"/>
      <w:divBdr>
        <w:top w:val="none" w:sz="0" w:space="0" w:color="auto"/>
        <w:left w:val="none" w:sz="0" w:space="0" w:color="auto"/>
        <w:bottom w:val="none" w:sz="0" w:space="0" w:color="auto"/>
        <w:right w:val="none" w:sz="0" w:space="0" w:color="auto"/>
      </w:divBdr>
    </w:div>
    <w:div w:id="1893537814">
      <w:bodyDiv w:val="1"/>
      <w:marLeft w:val="0"/>
      <w:marRight w:val="0"/>
      <w:marTop w:val="0"/>
      <w:marBottom w:val="0"/>
      <w:divBdr>
        <w:top w:val="none" w:sz="0" w:space="0" w:color="auto"/>
        <w:left w:val="none" w:sz="0" w:space="0" w:color="auto"/>
        <w:bottom w:val="none" w:sz="0" w:space="0" w:color="auto"/>
        <w:right w:val="none" w:sz="0" w:space="0" w:color="auto"/>
      </w:divBdr>
    </w:div>
    <w:div w:id="19706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D20762990461498F37FCD3C73B68C1" ma:contentTypeVersion="11" ma:contentTypeDescription="Create a new document." ma:contentTypeScope="" ma:versionID="deb47e43e7ad544c90b7fc117041682d">
  <xsd:schema xmlns:xsd="http://www.w3.org/2001/XMLSchema" xmlns:xs="http://www.w3.org/2001/XMLSchema" xmlns:p="http://schemas.microsoft.com/office/2006/metadata/properties" xmlns:ns2="b2fed20d-6d7c-43a5-b735-18cc48f8c23f" xmlns:ns3="eb9c4194-2da0-4f07-83f3-9bf658a4fa7a" targetNamespace="http://schemas.microsoft.com/office/2006/metadata/properties" ma:root="true" ma:fieldsID="1e8a9db2db8ba0b1ee0843180211bb83" ns2:_="" ns3:_="">
    <xsd:import namespace="b2fed20d-6d7c-43a5-b735-18cc48f8c23f"/>
    <xsd:import namespace="eb9c4194-2da0-4f07-83f3-9bf658a4fa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ed20d-6d7c-43a5-b735-18cc48f8c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9c4194-2da0-4f07-83f3-9bf658a4fa7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923990a-f4f0-4449-b478-ff09509fa558}" ma:internalName="TaxCatchAll" ma:showField="CatchAllData" ma:web="eb9c4194-2da0-4f07-83f3-9bf658a4f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fed20d-6d7c-43a5-b735-18cc48f8c23f">
      <Terms xmlns="http://schemas.microsoft.com/office/infopath/2007/PartnerControls"/>
    </lcf76f155ced4ddcb4097134ff3c332f>
    <TaxCatchAll xmlns="eb9c4194-2da0-4f07-83f3-9bf658a4fa7a" xsi:nil="true"/>
  </documentManagement>
</p:properties>
</file>

<file path=customXml/itemProps1.xml><?xml version="1.0" encoding="utf-8"?>
<ds:datastoreItem xmlns:ds="http://schemas.openxmlformats.org/officeDocument/2006/customXml" ds:itemID="{F34EFD80-D87A-4134-A8C0-9B0EF0C0B347}">
  <ds:schemaRefs>
    <ds:schemaRef ds:uri="http://schemas.microsoft.com/sharepoint/v3/contenttype/forms"/>
  </ds:schemaRefs>
</ds:datastoreItem>
</file>

<file path=customXml/itemProps2.xml><?xml version="1.0" encoding="utf-8"?>
<ds:datastoreItem xmlns:ds="http://schemas.openxmlformats.org/officeDocument/2006/customXml" ds:itemID="{6F443669-F513-46FB-88EE-800447BD82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ed20d-6d7c-43a5-b735-18cc48f8c23f"/>
    <ds:schemaRef ds:uri="eb9c4194-2da0-4f07-83f3-9bf658a4f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BDE5F-7C1B-4A0D-80BC-C51FCEBF1511}">
  <ds:schemaRefs>
    <ds:schemaRef ds:uri="http://schemas.microsoft.com/office/2006/metadata/properties"/>
    <ds:schemaRef ds:uri="http://schemas.microsoft.com/office/infopath/2007/PartnerControls"/>
    <ds:schemaRef ds:uri="b2fed20d-6d7c-43a5-b735-18cc48f8c23f"/>
    <ds:schemaRef ds:uri="eb9c4194-2da0-4f07-83f3-9bf658a4fa7a"/>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976</Words>
  <Characters>5565</Characters>
  <Application>Microsoft Office Word</Application>
  <DocSecurity>0</DocSecurity>
  <Lines>46</Lines>
  <Paragraphs>13</Paragraphs>
  <ScaleCrop>false</ScaleCrop>
  <Company>Deloitte Touche Tohmatsu Services, Inc.</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Rashid, Imtiaz</cp:lastModifiedBy>
  <cp:revision>70</cp:revision>
  <dcterms:created xsi:type="dcterms:W3CDTF">2021-07-15T08:34:00Z</dcterms:created>
  <dcterms:modified xsi:type="dcterms:W3CDTF">2022-09-18T09:24:00Z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2021-07-31T15:11:33Z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4680391b-bee5-4956-b8b1-e4576a3cc4c9</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y fmtid="{D5CDD505-2E9C-101B-9397-08002B2CF9AE}" pid="10" name="MediaServiceImageTags">
    <vt:lpwstr/>
  </property>
</Properties>
</file>