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F9B3" w14:textId="0D50E422" w:rsidR="00C9290B" w:rsidRDefault="004B576F">
      <w:pPr>
        <w:rPr>
          <w:b/>
          <w:bCs/>
        </w:rPr>
      </w:pPr>
      <w:r w:rsidRPr="004B576F">
        <w:rPr>
          <w:b/>
          <w:bCs/>
        </w:rPr>
        <w:t>Related party transactions</w:t>
      </w:r>
    </w:p>
    <w:p w14:paraId="734C969C" w14:textId="3C3916B9" w:rsidR="004B576F" w:rsidRDefault="004B576F">
      <w:r w:rsidRPr="004B576F">
        <w:t xml:space="preserve">During the year, the Company has carried out a number of transactions with the related parties in the normal course of business on arms' length basis. The related parties and their nature, transaction value and closing balances have been set out below in accordance with the </w:t>
      </w:r>
      <w:r w:rsidR="00370D4D" w:rsidRPr="004B576F">
        <w:t>provisions of</w:t>
      </w:r>
      <w:r w:rsidRPr="004B576F">
        <w:t xml:space="preserve"> IAS 24 "Related Party Disclosures".</w:t>
      </w:r>
    </w:p>
    <w:p w14:paraId="1B3C7FC7" w14:textId="7AFEADA3" w:rsidR="004B576F" w:rsidRDefault="004B576F"/>
    <w:tbl>
      <w:tblPr>
        <w:tblW w:w="8876" w:type="dxa"/>
        <w:tblLook w:val="04A0" w:firstRow="1" w:lastRow="0" w:firstColumn="1" w:lastColumn="0" w:noHBand="0" w:noVBand="1"/>
      </w:tblPr>
      <w:tblGrid>
        <w:gridCol w:w="2865"/>
        <w:gridCol w:w="1630"/>
        <w:gridCol w:w="1566"/>
        <w:gridCol w:w="1408"/>
        <w:gridCol w:w="1407"/>
      </w:tblGrid>
      <w:tr w:rsidR="004B576F" w:rsidRPr="004B576F" w14:paraId="46DB8E57" w14:textId="77777777" w:rsidTr="004B576F">
        <w:trPr>
          <w:trHeight w:val="213"/>
        </w:trPr>
        <w:tc>
          <w:tcPr>
            <w:tcW w:w="28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AA85FB" w14:textId="77777777" w:rsidR="004B576F" w:rsidRPr="004B576F" w:rsidRDefault="004B576F" w:rsidP="004B576F">
            <w:pPr>
              <w:spacing w:after="0" w:line="240" w:lineRule="auto"/>
              <w:jc w:val="center"/>
              <w:rPr>
                <w:rFonts w:ascii="Calibri" w:eastAsia="Times New Roman" w:hAnsi="Calibri" w:cs="Calibri"/>
                <w:b/>
                <w:bCs/>
                <w:sz w:val="21"/>
                <w:szCs w:val="21"/>
              </w:rPr>
            </w:pPr>
            <w:r w:rsidRPr="004B576F">
              <w:rPr>
                <w:rFonts w:ascii="Calibri" w:eastAsia="Times New Roman" w:hAnsi="Calibri" w:cs="Calibri"/>
                <w:b/>
                <w:bCs/>
                <w:sz w:val="21"/>
                <w:szCs w:val="21"/>
              </w:rPr>
              <w:t>Name of the parties</w:t>
            </w:r>
          </w:p>
        </w:tc>
        <w:tc>
          <w:tcPr>
            <w:tcW w:w="16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6EAA66" w14:textId="77777777" w:rsidR="004B576F" w:rsidRPr="004B576F" w:rsidRDefault="004B576F" w:rsidP="004B576F">
            <w:pPr>
              <w:spacing w:after="0" w:line="240" w:lineRule="auto"/>
              <w:jc w:val="center"/>
              <w:rPr>
                <w:rFonts w:ascii="Calibri" w:eastAsia="Times New Roman" w:hAnsi="Calibri" w:cs="Calibri"/>
                <w:b/>
                <w:bCs/>
                <w:sz w:val="21"/>
                <w:szCs w:val="21"/>
              </w:rPr>
            </w:pPr>
            <w:r w:rsidRPr="004B576F">
              <w:rPr>
                <w:rFonts w:ascii="Calibri" w:eastAsia="Times New Roman" w:hAnsi="Calibri" w:cs="Calibri"/>
                <w:b/>
                <w:bCs/>
                <w:sz w:val="21"/>
                <w:szCs w:val="21"/>
              </w:rPr>
              <w:t>Relationship</w:t>
            </w:r>
          </w:p>
        </w:tc>
        <w:tc>
          <w:tcPr>
            <w:tcW w:w="15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BEC102" w14:textId="77777777" w:rsidR="004B576F" w:rsidRPr="004B576F" w:rsidRDefault="004B576F" w:rsidP="004B576F">
            <w:pPr>
              <w:spacing w:after="0" w:line="240" w:lineRule="auto"/>
              <w:jc w:val="center"/>
              <w:rPr>
                <w:rFonts w:ascii="Calibri" w:eastAsia="Times New Roman" w:hAnsi="Calibri" w:cs="Calibri"/>
                <w:b/>
                <w:bCs/>
                <w:sz w:val="21"/>
                <w:szCs w:val="21"/>
              </w:rPr>
            </w:pPr>
            <w:r w:rsidRPr="004B576F">
              <w:rPr>
                <w:rFonts w:ascii="Calibri" w:eastAsia="Times New Roman" w:hAnsi="Calibri" w:cs="Calibri"/>
                <w:b/>
                <w:bCs/>
                <w:sz w:val="21"/>
                <w:szCs w:val="21"/>
              </w:rPr>
              <w:t>Nature of business</w:t>
            </w:r>
          </w:p>
        </w:tc>
        <w:tc>
          <w:tcPr>
            <w:tcW w:w="28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F3D32" w14:textId="77777777" w:rsidR="004B576F" w:rsidRPr="004B576F" w:rsidRDefault="004B576F" w:rsidP="004B576F">
            <w:pPr>
              <w:spacing w:after="0" w:line="240" w:lineRule="auto"/>
              <w:jc w:val="center"/>
              <w:rPr>
                <w:rFonts w:ascii="Calibri" w:eastAsia="Times New Roman" w:hAnsi="Calibri" w:cs="Calibri"/>
                <w:b/>
                <w:bCs/>
                <w:sz w:val="21"/>
                <w:szCs w:val="21"/>
              </w:rPr>
            </w:pPr>
            <w:r w:rsidRPr="004B576F">
              <w:rPr>
                <w:rFonts w:ascii="Calibri" w:eastAsia="Times New Roman" w:hAnsi="Calibri" w:cs="Calibri"/>
                <w:b/>
                <w:bCs/>
                <w:sz w:val="21"/>
                <w:szCs w:val="21"/>
              </w:rPr>
              <w:t>Closing Balance</w:t>
            </w:r>
          </w:p>
        </w:tc>
      </w:tr>
      <w:tr w:rsidR="004B576F" w:rsidRPr="004B576F" w14:paraId="6AE7A057" w14:textId="77777777" w:rsidTr="004B576F">
        <w:trPr>
          <w:trHeight w:val="213"/>
        </w:trPr>
        <w:tc>
          <w:tcPr>
            <w:tcW w:w="2865" w:type="dxa"/>
            <w:vMerge/>
            <w:tcBorders>
              <w:top w:val="single" w:sz="4" w:space="0" w:color="auto"/>
              <w:left w:val="single" w:sz="4" w:space="0" w:color="auto"/>
              <w:bottom w:val="single" w:sz="4" w:space="0" w:color="auto"/>
              <w:right w:val="single" w:sz="4" w:space="0" w:color="auto"/>
            </w:tcBorders>
            <w:vAlign w:val="center"/>
            <w:hideMark/>
          </w:tcPr>
          <w:p w14:paraId="6FF07E03" w14:textId="77777777" w:rsidR="004B576F" w:rsidRPr="004B576F" w:rsidRDefault="004B576F" w:rsidP="004B576F">
            <w:pPr>
              <w:spacing w:after="0" w:line="240" w:lineRule="auto"/>
              <w:rPr>
                <w:rFonts w:ascii="Calibri" w:eastAsia="Times New Roman" w:hAnsi="Calibri" w:cs="Calibri"/>
                <w:b/>
                <w:bCs/>
                <w:sz w:val="21"/>
                <w:szCs w:val="21"/>
              </w:rPr>
            </w:pPr>
          </w:p>
        </w:tc>
        <w:tc>
          <w:tcPr>
            <w:tcW w:w="1630" w:type="dxa"/>
            <w:vMerge/>
            <w:tcBorders>
              <w:top w:val="single" w:sz="4" w:space="0" w:color="auto"/>
              <w:left w:val="single" w:sz="4" w:space="0" w:color="auto"/>
              <w:bottom w:val="single" w:sz="4" w:space="0" w:color="auto"/>
              <w:right w:val="single" w:sz="4" w:space="0" w:color="auto"/>
            </w:tcBorders>
            <w:vAlign w:val="center"/>
            <w:hideMark/>
          </w:tcPr>
          <w:p w14:paraId="60224CC9" w14:textId="77777777" w:rsidR="004B576F" w:rsidRPr="004B576F" w:rsidRDefault="004B576F" w:rsidP="004B576F">
            <w:pPr>
              <w:spacing w:after="0" w:line="240" w:lineRule="auto"/>
              <w:rPr>
                <w:rFonts w:ascii="Calibri" w:eastAsia="Times New Roman" w:hAnsi="Calibri" w:cs="Calibri"/>
                <w:b/>
                <w:bCs/>
                <w:sz w:val="21"/>
                <w:szCs w:val="21"/>
              </w:rPr>
            </w:pPr>
          </w:p>
        </w:tc>
        <w:tc>
          <w:tcPr>
            <w:tcW w:w="1566" w:type="dxa"/>
            <w:vMerge/>
            <w:tcBorders>
              <w:top w:val="single" w:sz="4" w:space="0" w:color="auto"/>
              <w:left w:val="single" w:sz="4" w:space="0" w:color="auto"/>
              <w:bottom w:val="single" w:sz="4" w:space="0" w:color="auto"/>
              <w:right w:val="single" w:sz="4" w:space="0" w:color="auto"/>
            </w:tcBorders>
            <w:vAlign w:val="center"/>
            <w:hideMark/>
          </w:tcPr>
          <w:p w14:paraId="5E60EE09" w14:textId="77777777" w:rsidR="004B576F" w:rsidRPr="004B576F" w:rsidRDefault="004B576F" w:rsidP="004B576F">
            <w:pPr>
              <w:spacing w:after="0" w:line="240" w:lineRule="auto"/>
              <w:rPr>
                <w:rFonts w:ascii="Calibri" w:eastAsia="Times New Roman" w:hAnsi="Calibri" w:cs="Calibri"/>
                <w:b/>
                <w:bCs/>
                <w:sz w:val="21"/>
                <w:szCs w:val="21"/>
              </w:rPr>
            </w:pP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8C6EE" w14:textId="77777777" w:rsidR="004B576F" w:rsidRPr="004B576F" w:rsidRDefault="004B576F" w:rsidP="004B576F">
            <w:pPr>
              <w:spacing w:after="0" w:line="240" w:lineRule="auto"/>
              <w:jc w:val="center"/>
              <w:rPr>
                <w:rFonts w:ascii="Calibri" w:eastAsia="Times New Roman" w:hAnsi="Calibri" w:cs="Calibri"/>
                <w:b/>
                <w:bCs/>
                <w:sz w:val="21"/>
                <w:szCs w:val="21"/>
              </w:rPr>
            </w:pPr>
            <w:r w:rsidRPr="004B576F">
              <w:rPr>
                <w:rFonts w:ascii="Calibri" w:eastAsia="Times New Roman" w:hAnsi="Calibri" w:cs="Calibri"/>
                <w:b/>
                <w:bCs/>
                <w:sz w:val="21"/>
                <w:szCs w:val="21"/>
              </w:rPr>
              <w:t>30-Jun-22</w:t>
            </w: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4755F" w14:textId="77777777" w:rsidR="004B576F" w:rsidRPr="004B576F" w:rsidRDefault="004B576F" w:rsidP="004B576F">
            <w:pPr>
              <w:spacing w:after="0" w:line="240" w:lineRule="auto"/>
              <w:jc w:val="center"/>
              <w:rPr>
                <w:rFonts w:ascii="Calibri" w:eastAsia="Times New Roman" w:hAnsi="Calibri" w:cs="Calibri"/>
                <w:b/>
                <w:bCs/>
                <w:sz w:val="21"/>
                <w:szCs w:val="21"/>
              </w:rPr>
            </w:pPr>
            <w:r w:rsidRPr="004B576F">
              <w:rPr>
                <w:rFonts w:ascii="Calibri" w:eastAsia="Times New Roman" w:hAnsi="Calibri" w:cs="Calibri"/>
                <w:b/>
                <w:bCs/>
                <w:sz w:val="21"/>
                <w:szCs w:val="21"/>
              </w:rPr>
              <w:t>30-Jun-21</w:t>
            </w:r>
          </w:p>
        </w:tc>
      </w:tr>
      <w:tr w:rsidR="004B576F" w:rsidRPr="004B576F" w14:paraId="77641C12" w14:textId="77777777" w:rsidTr="004B576F">
        <w:trPr>
          <w:trHeight w:val="213"/>
        </w:trPr>
        <w:tc>
          <w:tcPr>
            <w:tcW w:w="2865" w:type="dxa"/>
            <w:vMerge/>
            <w:tcBorders>
              <w:top w:val="single" w:sz="4" w:space="0" w:color="auto"/>
              <w:left w:val="single" w:sz="4" w:space="0" w:color="auto"/>
              <w:bottom w:val="single" w:sz="4" w:space="0" w:color="auto"/>
              <w:right w:val="single" w:sz="4" w:space="0" w:color="auto"/>
            </w:tcBorders>
            <w:vAlign w:val="center"/>
            <w:hideMark/>
          </w:tcPr>
          <w:p w14:paraId="52FF19D9" w14:textId="77777777" w:rsidR="004B576F" w:rsidRPr="004B576F" w:rsidRDefault="004B576F" w:rsidP="004B576F">
            <w:pPr>
              <w:spacing w:after="0" w:line="240" w:lineRule="auto"/>
              <w:rPr>
                <w:rFonts w:ascii="Calibri" w:eastAsia="Times New Roman" w:hAnsi="Calibri" w:cs="Calibri"/>
                <w:b/>
                <w:bCs/>
                <w:sz w:val="21"/>
                <w:szCs w:val="21"/>
              </w:rPr>
            </w:pPr>
          </w:p>
        </w:tc>
        <w:tc>
          <w:tcPr>
            <w:tcW w:w="1630" w:type="dxa"/>
            <w:vMerge/>
            <w:tcBorders>
              <w:top w:val="single" w:sz="4" w:space="0" w:color="auto"/>
              <w:left w:val="single" w:sz="4" w:space="0" w:color="auto"/>
              <w:bottom w:val="single" w:sz="4" w:space="0" w:color="auto"/>
              <w:right w:val="single" w:sz="4" w:space="0" w:color="auto"/>
            </w:tcBorders>
            <w:vAlign w:val="center"/>
            <w:hideMark/>
          </w:tcPr>
          <w:p w14:paraId="5DEAD86E" w14:textId="77777777" w:rsidR="004B576F" w:rsidRPr="004B576F" w:rsidRDefault="004B576F" w:rsidP="004B576F">
            <w:pPr>
              <w:spacing w:after="0" w:line="240" w:lineRule="auto"/>
              <w:rPr>
                <w:rFonts w:ascii="Calibri" w:eastAsia="Times New Roman" w:hAnsi="Calibri" w:cs="Calibri"/>
                <w:b/>
                <w:bCs/>
                <w:sz w:val="21"/>
                <w:szCs w:val="21"/>
              </w:rPr>
            </w:pPr>
          </w:p>
        </w:tc>
        <w:tc>
          <w:tcPr>
            <w:tcW w:w="1566" w:type="dxa"/>
            <w:vMerge/>
            <w:tcBorders>
              <w:top w:val="single" w:sz="4" w:space="0" w:color="auto"/>
              <w:left w:val="single" w:sz="4" w:space="0" w:color="auto"/>
              <w:bottom w:val="single" w:sz="4" w:space="0" w:color="auto"/>
              <w:right w:val="single" w:sz="4" w:space="0" w:color="auto"/>
            </w:tcBorders>
            <w:vAlign w:val="center"/>
            <w:hideMark/>
          </w:tcPr>
          <w:p w14:paraId="189D2882" w14:textId="77777777" w:rsidR="004B576F" w:rsidRPr="004B576F" w:rsidRDefault="004B576F" w:rsidP="004B576F">
            <w:pPr>
              <w:spacing w:after="0" w:line="240" w:lineRule="auto"/>
              <w:rPr>
                <w:rFonts w:ascii="Calibri" w:eastAsia="Times New Roman" w:hAnsi="Calibri" w:cs="Calibri"/>
                <w:b/>
                <w:bCs/>
                <w:sz w:val="21"/>
                <w:szCs w:val="21"/>
              </w:rPr>
            </w:pP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7B14E" w14:textId="77777777" w:rsidR="004B576F" w:rsidRPr="004B576F" w:rsidRDefault="004B576F" w:rsidP="004B576F">
            <w:pPr>
              <w:spacing w:after="0" w:line="240" w:lineRule="auto"/>
              <w:jc w:val="center"/>
              <w:rPr>
                <w:rFonts w:ascii="Calibri" w:eastAsia="Times New Roman" w:hAnsi="Calibri" w:cs="Calibri"/>
                <w:b/>
                <w:bCs/>
                <w:sz w:val="21"/>
                <w:szCs w:val="21"/>
              </w:rPr>
            </w:pPr>
            <w:r w:rsidRPr="004B576F">
              <w:rPr>
                <w:rFonts w:ascii="Calibri" w:eastAsia="Times New Roman" w:hAnsi="Calibri" w:cs="Calibri"/>
                <w:b/>
                <w:bCs/>
                <w:sz w:val="21"/>
                <w:szCs w:val="21"/>
              </w:rPr>
              <w:t>BDT</w:t>
            </w: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9F25F" w14:textId="77777777" w:rsidR="004B576F" w:rsidRPr="004B576F" w:rsidRDefault="004B576F" w:rsidP="004B576F">
            <w:pPr>
              <w:spacing w:after="0" w:line="240" w:lineRule="auto"/>
              <w:jc w:val="center"/>
              <w:rPr>
                <w:rFonts w:ascii="Calibri" w:eastAsia="Times New Roman" w:hAnsi="Calibri" w:cs="Calibri"/>
                <w:b/>
                <w:bCs/>
                <w:sz w:val="21"/>
                <w:szCs w:val="21"/>
              </w:rPr>
            </w:pPr>
            <w:r w:rsidRPr="004B576F">
              <w:rPr>
                <w:rFonts w:ascii="Calibri" w:eastAsia="Times New Roman" w:hAnsi="Calibri" w:cs="Calibri"/>
                <w:b/>
                <w:bCs/>
                <w:sz w:val="21"/>
                <w:szCs w:val="21"/>
              </w:rPr>
              <w:t>BDT</w:t>
            </w:r>
          </w:p>
        </w:tc>
      </w:tr>
      <w:tr w:rsidR="004B576F" w:rsidRPr="004B576F" w14:paraId="49ACE5DB" w14:textId="77777777" w:rsidTr="004B576F">
        <w:trPr>
          <w:trHeight w:val="233"/>
        </w:trPr>
        <w:tc>
          <w:tcPr>
            <w:tcW w:w="28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608CB0"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Epic Designers Ltd., Hong Kong, SAR</w:t>
            </w:r>
          </w:p>
        </w:tc>
        <w:tc>
          <w:tcPr>
            <w:tcW w:w="16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02103B"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Holding Company</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58E89"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Trade and non trade</w:t>
            </w:r>
          </w:p>
        </w:tc>
        <w:tc>
          <w:tcPr>
            <w:tcW w:w="14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A9F536"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 xml:space="preserve">      154,563,396 </w:t>
            </w:r>
          </w:p>
        </w:tc>
        <w:tc>
          <w:tcPr>
            <w:tcW w:w="140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30F17C"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 xml:space="preserve">       125,659,837 </w:t>
            </w:r>
          </w:p>
        </w:tc>
      </w:tr>
      <w:tr w:rsidR="004B576F" w:rsidRPr="004B576F" w14:paraId="517A6401" w14:textId="77777777" w:rsidTr="004B576F">
        <w:trPr>
          <w:trHeight w:val="233"/>
        </w:trPr>
        <w:tc>
          <w:tcPr>
            <w:tcW w:w="2865" w:type="dxa"/>
            <w:vMerge/>
            <w:tcBorders>
              <w:top w:val="single" w:sz="4" w:space="0" w:color="auto"/>
              <w:left w:val="single" w:sz="4" w:space="0" w:color="auto"/>
              <w:bottom w:val="single" w:sz="4" w:space="0" w:color="auto"/>
              <w:right w:val="single" w:sz="4" w:space="0" w:color="auto"/>
            </w:tcBorders>
            <w:vAlign w:val="center"/>
            <w:hideMark/>
          </w:tcPr>
          <w:p w14:paraId="08FAEB2A" w14:textId="77777777" w:rsidR="004B576F" w:rsidRPr="004B576F" w:rsidRDefault="004B576F" w:rsidP="004B576F">
            <w:pPr>
              <w:spacing w:after="0" w:line="240" w:lineRule="auto"/>
              <w:rPr>
                <w:rFonts w:ascii="Calibri" w:eastAsia="Times New Roman" w:hAnsi="Calibri" w:cs="Calibri"/>
                <w:sz w:val="21"/>
                <w:szCs w:val="21"/>
              </w:rPr>
            </w:pPr>
          </w:p>
        </w:tc>
        <w:tc>
          <w:tcPr>
            <w:tcW w:w="1630" w:type="dxa"/>
            <w:vMerge/>
            <w:tcBorders>
              <w:top w:val="single" w:sz="4" w:space="0" w:color="auto"/>
              <w:left w:val="single" w:sz="4" w:space="0" w:color="auto"/>
              <w:bottom w:val="single" w:sz="4" w:space="0" w:color="auto"/>
              <w:right w:val="single" w:sz="4" w:space="0" w:color="auto"/>
            </w:tcBorders>
            <w:vAlign w:val="center"/>
            <w:hideMark/>
          </w:tcPr>
          <w:p w14:paraId="1D1C4D40" w14:textId="77777777" w:rsidR="004B576F" w:rsidRPr="004B576F" w:rsidRDefault="004B576F" w:rsidP="004B576F">
            <w:pPr>
              <w:spacing w:after="0" w:line="240" w:lineRule="auto"/>
              <w:rPr>
                <w:rFonts w:ascii="Calibri" w:eastAsia="Times New Roman" w:hAnsi="Calibri" w:cs="Calibri"/>
                <w:sz w:val="21"/>
                <w:szCs w:val="21"/>
              </w:rPr>
            </w:pP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C636B"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Loan</w:t>
            </w:r>
          </w:p>
        </w:tc>
        <w:tc>
          <w:tcPr>
            <w:tcW w:w="14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0EF189"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 xml:space="preserve">     (324,018,133)</w:t>
            </w:r>
          </w:p>
        </w:tc>
        <w:tc>
          <w:tcPr>
            <w:tcW w:w="140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5503AA"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 xml:space="preserve">      (140,081,209)</w:t>
            </w:r>
          </w:p>
        </w:tc>
      </w:tr>
      <w:tr w:rsidR="004B576F" w:rsidRPr="004B576F" w14:paraId="15C19378" w14:textId="77777777" w:rsidTr="004B576F">
        <w:trPr>
          <w:trHeight w:val="233"/>
        </w:trPr>
        <w:tc>
          <w:tcPr>
            <w:tcW w:w="2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5B4CA2"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Alpha Start Ltd., Hong Kong, SAR</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7CDA0"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Group Company</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846BE"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 xml:space="preserve">Trade </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7EDC24"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 xml:space="preserve">     (186,889,455)</w:t>
            </w:r>
          </w:p>
        </w:tc>
        <w:tc>
          <w:tcPr>
            <w:tcW w:w="140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D000F6"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 xml:space="preserve">      (163,146,660)</w:t>
            </w:r>
          </w:p>
        </w:tc>
      </w:tr>
      <w:tr w:rsidR="004B576F" w:rsidRPr="004B576F" w14:paraId="457DB290" w14:textId="77777777" w:rsidTr="004B576F">
        <w:trPr>
          <w:trHeight w:val="233"/>
        </w:trPr>
        <w:tc>
          <w:tcPr>
            <w:tcW w:w="2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31B9D"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Epic Garments Manufacturing Co. Ltd.</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738A4"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Group Company</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4C6EA"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Trade</w:t>
            </w:r>
          </w:p>
        </w:tc>
        <w:tc>
          <w:tcPr>
            <w:tcW w:w="14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9FE8F4"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 xml:space="preserve">       (16,658,303)</w:t>
            </w:r>
          </w:p>
        </w:tc>
        <w:tc>
          <w:tcPr>
            <w:tcW w:w="140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B8D2D9"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 xml:space="preserve">                          -   </w:t>
            </w:r>
          </w:p>
        </w:tc>
      </w:tr>
      <w:tr w:rsidR="004B576F" w:rsidRPr="004B576F" w14:paraId="74A451DD" w14:textId="77777777" w:rsidTr="004B576F">
        <w:trPr>
          <w:trHeight w:val="233"/>
        </w:trPr>
        <w:tc>
          <w:tcPr>
            <w:tcW w:w="2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80F17"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Pearl Garments Company Limited</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A7917D"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Group Company</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541BB"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Trade</w:t>
            </w:r>
          </w:p>
        </w:tc>
        <w:tc>
          <w:tcPr>
            <w:tcW w:w="14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375AD4"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 xml:space="preserve">                         -   </w:t>
            </w:r>
          </w:p>
        </w:tc>
        <w:tc>
          <w:tcPr>
            <w:tcW w:w="140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A46430"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 xml:space="preserve">            2,807,716 </w:t>
            </w:r>
          </w:p>
        </w:tc>
      </w:tr>
      <w:tr w:rsidR="004B576F" w:rsidRPr="004B576F" w14:paraId="284B81E7" w14:textId="77777777" w:rsidTr="004B576F">
        <w:trPr>
          <w:trHeight w:val="233"/>
        </w:trPr>
        <w:tc>
          <w:tcPr>
            <w:tcW w:w="2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56F9D"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Epic Garments DWC - LLC, Dubai</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7BC45"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Group Company</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E5B91"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 xml:space="preserve">Trade </w:t>
            </w:r>
          </w:p>
        </w:tc>
        <w:tc>
          <w:tcPr>
            <w:tcW w:w="14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0B7B80" w14:textId="77777777" w:rsidR="004B576F" w:rsidRPr="004B576F" w:rsidRDefault="004B576F" w:rsidP="004B576F">
            <w:pPr>
              <w:spacing w:after="0" w:line="240" w:lineRule="auto"/>
              <w:rPr>
                <w:rFonts w:ascii="Calibri" w:eastAsia="Times New Roman" w:hAnsi="Calibri" w:cs="Calibri"/>
                <w:sz w:val="21"/>
                <w:szCs w:val="21"/>
              </w:rPr>
            </w:pPr>
            <w:r w:rsidRPr="004B576F">
              <w:rPr>
                <w:rFonts w:ascii="Calibri" w:eastAsia="Times New Roman" w:hAnsi="Calibri" w:cs="Calibri"/>
                <w:sz w:val="21"/>
                <w:szCs w:val="21"/>
              </w:rPr>
              <w:t xml:space="preserve">        79,599,389 </w:t>
            </w:r>
          </w:p>
        </w:tc>
        <w:tc>
          <w:tcPr>
            <w:tcW w:w="140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8DD5AF" w14:textId="77777777" w:rsidR="004B576F" w:rsidRPr="004B576F" w:rsidRDefault="004B576F" w:rsidP="004B576F">
            <w:pPr>
              <w:spacing w:after="0" w:line="240" w:lineRule="auto"/>
              <w:jc w:val="center"/>
              <w:rPr>
                <w:rFonts w:ascii="Calibri" w:eastAsia="Times New Roman" w:hAnsi="Calibri" w:cs="Calibri"/>
                <w:sz w:val="21"/>
                <w:szCs w:val="21"/>
              </w:rPr>
            </w:pPr>
            <w:r w:rsidRPr="004B576F">
              <w:rPr>
                <w:rFonts w:ascii="Calibri" w:eastAsia="Times New Roman" w:hAnsi="Calibri" w:cs="Calibri"/>
                <w:sz w:val="21"/>
                <w:szCs w:val="21"/>
              </w:rPr>
              <w:t> </w:t>
            </w:r>
          </w:p>
        </w:tc>
      </w:tr>
    </w:tbl>
    <w:p w14:paraId="175836D6" w14:textId="77777777" w:rsidR="004B576F" w:rsidRPr="004B576F" w:rsidRDefault="004B576F"/>
    <w:sectPr w:rsidR="004B576F" w:rsidRPr="004B5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7480" w14:textId="77777777" w:rsidR="004B576F" w:rsidRDefault="004B576F" w:rsidP="004B576F">
      <w:pPr>
        <w:spacing w:after="0" w:line="240" w:lineRule="auto"/>
      </w:pPr>
      <w:r>
        <w:separator/>
      </w:r>
    </w:p>
  </w:endnote>
  <w:endnote w:type="continuationSeparator" w:id="0">
    <w:p w14:paraId="77E68FAD" w14:textId="77777777" w:rsidR="004B576F" w:rsidRDefault="004B576F" w:rsidP="004B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7366" w14:textId="77777777" w:rsidR="004B576F" w:rsidRDefault="004B576F" w:rsidP="004B576F">
      <w:pPr>
        <w:spacing w:after="0" w:line="240" w:lineRule="auto"/>
      </w:pPr>
      <w:r>
        <w:separator/>
      </w:r>
    </w:p>
  </w:footnote>
  <w:footnote w:type="continuationSeparator" w:id="0">
    <w:p w14:paraId="3361BECF" w14:textId="77777777" w:rsidR="004B576F" w:rsidRDefault="004B576F" w:rsidP="004B57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6F"/>
    <w:rsid w:val="00370D4D"/>
    <w:rsid w:val="004B576F"/>
    <w:rsid w:val="00C9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C1B8A"/>
  <w15:chartTrackingRefBased/>
  <w15:docId w15:val="{B912DC33-6139-437B-B7D5-11EE6119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9577">
      <w:bodyDiv w:val="1"/>
      <w:marLeft w:val="0"/>
      <w:marRight w:val="0"/>
      <w:marTop w:val="0"/>
      <w:marBottom w:val="0"/>
      <w:divBdr>
        <w:top w:val="none" w:sz="0" w:space="0" w:color="auto"/>
        <w:left w:val="none" w:sz="0" w:space="0" w:color="auto"/>
        <w:bottom w:val="none" w:sz="0" w:space="0" w:color="auto"/>
        <w:right w:val="none" w:sz="0" w:space="0" w:color="auto"/>
      </w:divBdr>
    </w:div>
    <w:div w:id="212660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Imtiaz</dc:creator>
  <cp:keywords/>
  <dc:description/>
  <cp:lastModifiedBy>Rashid, Imtiaz</cp:lastModifiedBy>
  <cp:revision>2</cp:revision>
  <dcterms:created xsi:type="dcterms:W3CDTF">2022-11-21T08:26:00Z</dcterms:created>
  <dcterms:modified xsi:type="dcterms:W3CDTF">2022-11-21T08:35:00Z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2022-11-21T08:26:43Z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a4b100b4-30b4-4ea9-9073-5b41048aefcd</vt:lpwstr>
  </property>
  <property fmtid="{D5CDD505-2E9C-101B-9397-08002B2CF9AE}" pid="8" name="MSIP_Label_ea60d57e-af5b-4752-ac57-3e4f28ca11dc_ContentBits">
    <vt:lpwstr>0</vt:lpwstr>
  </property>
</Properties>
</file>