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IV – ĐỀ SỐ 03</w:t>
      </w:r>
    </w:p>
    <w:p>
      <w:pPr>
        <w:spacing w:before="0" w:after="40"/>
        <w:jc w:val="center"/>
      </w:pPr>
      <w:r>
        <w:rPr>
          <w:rFonts w:ascii="Times New Roman" w:hAnsi="Times New Roman"/>
          <w:b w:val="0"/>
          <w:i/>
          <w:sz w:val="23"/>
        </w:rPr>
        <w:t>Chương IV – Vật lí hạt nhân</w:t>
      </w:r>
    </w:p>
    <w:p>
      <w:pPr>
        <w:spacing w:before="0" w:after="120"/>
        <w:jc w:val="center"/>
      </w:pPr>
      <w:r>
        <w:rPr>
          <w:rFonts w:ascii="Times New Roman" w:hAnsi="Times New Roman"/>
          <w:b w:val="0"/>
          <w:i w:val="0"/>
          <w:color w:val="555555"/>
          <w:sz w:val="21"/>
        </w:rPr>
        <w:t>Mã đề: C4-03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khối lượng proton </w:t>
            </w:r>
            <w:r>
              <w:rPr>
                <w:rFonts w:ascii="Times New Roman" w:hAnsi="Times New Roman"/>
                <w:b w:val="0"/>
                <w:i w:val="0"/>
                <w:sz w:val="22"/>
              </w:rPr>
              <w:t>m</w:t>
            </w:r>
            <w:r>
              <w:rPr>
                <w:rFonts w:ascii="Times New Roman" w:hAnsi="Times New Roman"/>
                <w:b w:val="0"/>
                <w:i w:val="0"/>
                <w:sz w:val="17"/>
                <w:vertAlign w:val="subscript"/>
              </w:rPr>
              <w:t>p</w:t>
            </w:r>
            <w:r>
              <w:rPr>
                <w:rFonts w:ascii="Times New Roman" w:hAnsi="Times New Roman"/>
                <w:b w:val="0"/>
                <w:i w:val="0"/>
                <w:sz w:val="22"/>
              </w:rPr>
              <w:t xml:space="preserve"> = 1,00728 u; khối lượng neutron </w:t>
            </w:r>
            <w:r>
              <w:rPr>
                <w:rFonts w:ascii="Times New Roman" w:hAnsi="Times New Roman"/>
                <w:b w:val="0"/>
                <w:i w:val="0"/>
                <w:sz w:val="22"/>
              </w:rPr>
              <w:t>m</w:t>
            </w:r>
            <w:r>
              <w:rPr>
                <w:rFonts w:ascii="Times New Roman" w:hAnsi="Times New Roman"/>
                <w:b w:val="0"/>
                <w:i w:val="0"/>
                <w:sz w:val="17"/>
                <w:vertAlign w:val="subscript"/>
              </w:rPr>
              <w:t>n</w:t>
            </w:r>
            <w:r>
              <w:rPr>
                <w:rFonts w:ascii="Times New Roman" w:hAnsi="Times New Roman"/>
                <w:b w:val="0"/>
                <w:i w:val="0"/>
                <w:sz w:val="22"/>
              </w:rPr>
              <w:t xml:space="preserve"> = 1,00866 u; 1 u = 931,5 MeV/c²;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1 eV = 1,6·10⁻¹⁹ J và 1 MeV = 1,6·10⁻¹³ J; tốc độ ánh sáng trong chân không c = 3·10⁸ m/s; ln2 ≈ 0,693. Bỏ qua động năng của các hạt trước phản ứng nếu đề không nói rõ.</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Hằng số phóng xạ λ liên hệ với chu kì bán rã T bởi công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λ = 2/T.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λ = T/ln2.</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λ = ln2/T.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λ = T·ln2.</w:t>
            </w:r>
          </w:p>
        </w:tc>
      </w:tr>
    </w:tbl>
    <w:p>
      <w:pPr>
        <w:spacing w:before="100" w:after="20"/>
      </w:pPr>
      <w:r>
        <w:rPr>
          <w:rFonts w:ascii="Times New Roman" w:hAnsi="Times New Roman"/>
          <w:b/>
          <w:i w:val="0"/>
          <w:sz w:val="24"/>
        </w:rPr>
        <w:t xml:space="preserve">Câu 2. </w:t>
      </w:r>
      <w:r>
        <w:rPr>
          <w:rFonts w:ascii="Times New Roman" w:hAnsi="Times New Roman"/>
          <w:b w:val="0"/>
          <w:i w:val="0"/>
          <w:sz w:val="24"/>
        </w:rPr>
        <w:t>Độ phóng xạ H của một mẫu chất phóng xạ chứa N hạt nhân được tính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H = λ·N.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H = N/λ.</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H = λ/N.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H = λ·N².</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Trong hệ SI, đơn vị của độ phóng xạ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gray (Gy).</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curie (Ci).</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becquerel (Bq).</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sievert (Sv).</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Dạng hàm mũ của định luật phóng xạ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N = N₀·e^(−λt).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N = N₀·e^(λt).</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N = N₀·(1 − e^(−λt)).</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N = N₀·λ·e^(−t).</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Khi một mẫu chất phóng xạ phân rã, độ phóng xạ của mẫu</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giữ nguyên vì hằng số phóng xạ không đổi.</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giảm theo thời gian đúng theo quy luật giảm của số hạt nhân.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tăng dần theo thời gian vì số hạt nhân con tăng lên.</w:t>
      </w:r>
    </w:p>
    <w:p>
      <w:pPr>
        <w:spacing w:before="0" w:after="0"/>
        <w:ind w:left="340"/>
      </w:pPr>
      <w:r>
        <w:rPr>
          <w:rFonts w:ascii="Times New Roman" w:hAnsi="Times New Roman"/>
          <w:b/>
          <w:i w:val="0"/>
          <w:sz w:val="24"/>
        </w:rPr>
        <w:t xml:space="preserve">D. </w:t>
      </w:r>
      <w:r>
        <w:rPr>
          <w:rFonts w:ascii="Times New Roman" w:hAnsi="Times New Roman"/>
          <w:b w:val="0"/>
          <w:i w:val="0"/>
          <w:sz w:val="24"/>
        </w:rPr>
        <w:t>giảm đều theo thời gian như một hàm bậc nhất.</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là đồ thị lnH theo thời gian t của một mẫu chất phóng xạ. Hệ số góc của đường thẳng này bằng</w:t>
      </w:r>
    </w:p>
    <w:p>
      <w:pPr>
        <w:spacing w:before="60" w:after="20"/>
        <w:jc w:val="center"/>
      </w:pPr>
      <w:r>
        <w:drawing>
          <wp:inline xmlns:a="http://schemas.openxmlformats.org/drawingml/2006/main" xmlns:pic="http://schemas.openxmlformats.org/drawingml/2006/picture">
            <wp:extent cx="3162626" cy="1943999"/>
            <wp:docPr id="1" name="Picture 1"/>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316262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−H₀, với H₀ là độ phóng xạ ban đầu.</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 với T là chu kì bán rã.</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λ, với λ là hằng số phóng xạ.</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−λ, với λ là hằng số phóng xạ.</w:t>
            </w:r>
          </w:p>
        </w:tc>
      </w:tr>
    </w:tbl>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Một mẫu chất phóng xạ có độ phóng xạ 500 Bq. Điều đó có nghĩa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mẫu phát ra 500 tia phóng xạ trong mỗi chu kì bán rã.</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trong mẫu còn lại đúng 500 hạt nhân phóng xạ.</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cứ sau mỗi 500 giây lại có một hạt nhân bị phân rã.</w:t>
      </w:r>
    </w:p>
    <w:p>
      <w:pPr>
        <w:spacing w:before="0" w:after="0"/>
        <w:ind w:left="340"/>
      </w:pPr>
      <w:r>
        <w:rPr>
          <w:rFonts w:ascii="Times New Roman" w:hAnsi="Times New Roman"/>
          <w:b/>
          <w:i w:val="0"/>
          <w:sz w:val="24"/>
        </w:rPr>
        <w:t xml:space="preserve">D. </w:t>
      </w:r>
      <w:r>
        <w:rPr>
          <w:rFonts w:ascii="Times New Roman" w:hAnsi="Times New Roman"/>
          <w:b w:val="0"/>
          <w:i w:val="0"/>
          <w:sz w:val="24"/>
        </w:rPr>
        <w:t>trong mỗi giây có 500 hạt nhân của mẫu bị phân rã.</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Đồng vị ¹⁴C được dùng để xác định niên đại của các mẫu vật cổ có nguồn gốc sinh vật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nó có chu kì bán rã 5730 năm, phù hợp với thang thời gian khảo cổ.</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nó có chu kì bán rã rất ngắn nên độ phóng xạ giảm rất nhanh.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nó là đồng vị bền nên số lượng trong mẫu không đổi theo thời gian.</w:t>
      </w:r>
    </w:p>
    <w:p>
      <w:pPr>
        <w:spacing w:before="0" w:after="0"/>
        <w:ind w:left="340"/>
      </w:pPr>
      <w:r>
        <w:rPr>
          <w:rFonts w:ascii="Times New Roman" w:hAnsi="Times New Roman"/>
          <w:b/>
          <w:i w:val="0"/>
          <w:sz w:val="24"/>
        </w:rPr>
        <w:t xml:space="preserve">D. </w:t>
      </w:r>
      <w:r>
        <w:rPr>
          <w:rFonts w:ascii="Times New Roman" w:hAnsi="Times New Roman"/>
          <w:b w:val="0"/>
          <w:i w:val="0"/>
          <w:sz w:val="24"/>
        </w:rPr>
        <w:t>nó chỉ có mặt trong các mẫu vật đã bị chôn vùi lâu năm.</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là đồ thị khối lượng chất phóng xạ còn lại theo thời gian. Chu kì bán rã của chất này là</w:t>
      </w:r>
    </w:p>
    <w:p>
      <w:pPr>
        <w:spacing w:before="60" w:after="20"/>
        <w:jc w:val="center"/>
      </w:pPr>
      <w:r>
        <w:drawing>
          <wp:inline xmlns:a="http://schemas.openxmlformats.org/drawingml/2006/main" xmlns:pic="http://schemas.openxmlformats.org/drawingml/2006/picture">
            <wp:extent cx="3202356" cy="1943999"/>
            <wp:docPr id="2" name="Picture 2"/>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320235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16 ngày.</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8,0 ngày.</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 ngày.</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24 ngày.</w:t>
            </w:r>
          </w:p>
        </w:tc>
      </w:tr>
    </w:tbl>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Hình vẽ là đồ thị độ phóng xạ của hai mẫu chất X và Y theo thời gian. So sánh chu kì bán rã của hai mẫu, ta thấy</w:t>
      </w:r>
    </w:p>
    <w:p>
      <w:pPr>
        <w:keepNext/>
        <w:keepLines/>
        <w:spacing w:before="60" w:after="20"/>
        <w:jc w:val="center"/>
      </w:pPr>
      <w:r>
        <w:drawing>
          <wp:inline xmlns:a="http://schemas.openxmlformats.org/drawingml/2006/main" xmlns:pic="http://schemas.openxmlformats.org/drawingml/2006/picture">
            <wp:extent cx="3248066" cy="1944000"/>
            <wp:docPr id="3" name="Picture 3"/>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248066"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hai mẫu có chu kì bán rã bằng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mẫu X có chu kì bán rã lớn hơn mẫu Y.</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mẫu X có chu kì bán rã nhỏ hơn mẫu Y.</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so sánh được vì độ phóng xạ ban đầu khác nhau.</w:t>
      </w:r>
    </w:p>
    <w:p>
      <w:pPr>
        <w:spacing w:before="100" w:after="20"/>
      </w:pPr>
      <w:r>
        <w:rPr>
          <w:rFonts w:ascii="Times New Roman" w:hAnsi="Times New Roman"/>
          <w:b/>
          <w:i w:val="0"/>
          <w:sz w:val="24"/>
        </w:rPr>
        <w:t xml:space="preserve">Câu 11. </w:t>
      </w:r>
      <w:r>
        <w:rPr>
          <w:rFonts w:ascii="Times New Roman" w:hAnsi="Times New Roman"/>
          <w:b w:val="0"/>
          <w:i w:val="0"/>
          <w:sz w:val="24"/>
        </w:rPr>
        <w:t>Một chất phóng xạ có chu kì bán rã 4,0 giờ. Hằng số phóng xạ của chất này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5,77 giờ⁻¹.</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0,173 giờ⁻¹.</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0,250 giờ⁻¹.</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2,77 giờ⁻¹.</w:t>
            </w:r>
          </w:p>
        </w:tc>
      </w:tr>
    </w:tbl>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Từ đồ thị lnH ở Câu 6, biết hệ số góc của đường thẳng là −0,173 giờ⁻¹. Chu kì bán rã của chất phóng xạ này xấp xỉ</w:t>
      </w:r>
    </w:p>
    <w:p>
      <w:pPr>
        <w:spacing w:before="60" w:after="20"/>
        <w:jc w:val="center"/>
      </w:pPr>
      <w:r>
        <w:drawing>
          <wp:inline xmlns:a="http://schemas.openxmlformats.org/drawingml/2006/main" xmlns:pic="http://schemas.openxmlformats.org/drawingml/2006/picture">
            <wp:extent cx="3162626" cy="1943999"/>
            <wp:docPr id="4" name="Picture 4"/>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316262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1,7 giờ.</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5,8 giờ.</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 giờ.</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0,17 giờ.</w:t>
            </w:r>
          </w:p>
        </w:tc>
      </w:tr>
    </w:tbl>
    <w:p>
      <w:pPr>
        <w:keepNext/>
        <w:keepLines/>
        <w:spacing w:before="100" w:after="20"/>
      </w:pPr>
      <w:r>
        <w:rPr>
          <w:rFonts w:ascii="Times New Roman" w:hAnsi="Times New Roman"/>
          <w:b/>
          <w:i w:val="0"/>
          <w:sz w:val="24"/>
        </w:rPr>
        <w:t xml:space="preserve">Câu 13. </w:t>
      </w:r>
      <w:r>
        <w:rPr>
          <w:rFonts w:ascii="Times New Roman" w:hAnsi="Times New Roman"/>
          <w:b w:val="0"/>
          <w:i w:val="0"/>
          <w:sz w:val="24"/>
        </w:rPr>
        <w:t>Cũng theo đồ thị khối lượng ở Câu 9, khối lượng chất phóng xạ còn lại sau 24 ngày là</w:t>
      </w:r>
    </w:p>
    <w:p>
      <w:pPr>
        <w:spacing w:before="60" w:after="20"/>
        <w:jc w:val="center"/>
      </w:pPr>
      <w:r>
        <w:drawing>
          <wp:inline xmlns:a="http://schemas.openxmlformats.org/drawingml/2006/main" xmlns:pic="http://schemas.openxmlformats.org/drawingml/2006/picture">
            <wp:extent cx="3202356" cy="1943999"/>
            <wp:docPr id="5" name="Picture 5"/>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3202356"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 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 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5,0 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40 g.</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Một mẫu chất phóng xạ chứa 2,0·10²⁰ hạt nhân, hằng số phóng xạ λ = 1,0·10⁻⁶ s⁻¹. Độ phóng xạ của mẫu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2,0·10¹⁴ Bq.</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2,0·10²⁶ Bq.</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2,0·10²⁰ Bq.</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5,0·10²⁵ Bq.</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Độ phóng xạ ban đầu của một mẫu chất là 800 Bq, chu kì bán rã 5,0 giờ. Sau 15 giờ, độ phóng xạ của mẫu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200 Bq.</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100 Bq.</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267 Bq.</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 Bq.</w:t>
            </w:r>
          </w:p>
        </w:tc>
      </w:tr>
    </w:tbl>
    <w:p>
      <w:pPr>
        <w:keepNext/>
        <w:keepLines/>
        <w:spacing w:before="100" w:after="20"/>
      </w:pPr>
      <w:r>
        <w:rPr>
          <w:rFonts w:ascii="Times New Roman" w:hAnsi="Times New Roman"/>
          <w:b/>
          <w:i w:val="0"/>
          <w:sz w:val="24"/>
        </w:rPr>
        <w:t xml:space="preserve">Câu 16. </w:t>
      </w:r>
      <w:r>
        <w:rPr>
          <w:rFonts w:ascii="Times New Roman" w:hAnsi="Times New Roman"/>
          <w:b w:val="0"/>
          <w:i w:val="0"/>
          <w:sz w:val="24"/>
        </w:rPr>
        <w:t>Vẫn với đồ thị độ phóng xạ của hai mẫu X và Y ở Câu 10. Tại thời điểm t = 15 giờ, so sánh độ phóng xạ của hai mẫu ta thấy</w:t>
      </w:r>
    </w:p>
    <w:p>
      <w:pPr>
        <w:keepNext/>
        <w:keepLines/>
        <w:spacing w:before="60" w:after="20"/>
        <w:jc w:val="center"/>
      </w:pPr>
      <w:r>
        <w:drawing>
          <wp:inline xmlns:a="http://schemas.openxmlformats.org/drawingml/2006/main" xmlns:pic="http://schemas.openxmlformats.org/drawingml/2006/picture">
            <wp:extent cx="3248066" cy="1944000"/>
            <wp:docPr id="6" name="Picture 6"/>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248066"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độ phóng xạ của Y lớn gấp bốn lần độ phóng xạ của X.</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độ phóng xạ của X lớn gấp đôi độ phóng xạ của Y.</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hai mẫu có độ phóng xạ bằng nhau.</w:t>
      </w:r>
    </w:p>
    <w:p>
      <w:pPr>
        <w:spacing w:before="0" w:after="0"/>
        <w:ind w:left="340"/>
      </w:pPr>
      <w:r>
        <w:rPr>
          <w:rFonts w:ascii="Times New Roman" w:hAnsi="Times New Roman"/>
          <w:b/>
          <w:i w:val="0"/>
          <w:sz w:val="24"/>
        </w:rPr>
        <w:t xml:space="preserve">D. </w:t>
      </w:r>
      <w:r>
        <w:rPr>
          <w:rFonts w:ascii="Times New Roman" w:hAnsi="Times New Roman"/>
          <w:b w:val="0"/>
          <w:i w:val="0"/>
          <w:sz w:val="24"/>
        </w:rPr>
        <w:t>độ phóng xạ của Y lớn gấp đôi độ phóng xạ của X.</w:t>
      </w:r>
    </w:p>
    <w:p>
      <w:pPr>
        <w:spacing w:before="100" w:after="20"/>
      </w:pPr>
      <w:r>
        <w:rPr>
          <w:rFonts w:ascii="Times New Roman" w:hAnsi="Times New Roman"/>
          <w:b/>
          <w:i w:val="0"/>
          <w:sz w:val="24"/>
        </w:rPr>
        <w:t xml:space="preserve">Câu 17. </w:t>
      </w:r>
      <w:r>
        <w:rPr>
          <w:rFonts w:ascii="Times New Roman" w:hAnsi="Times New Roman"/>
          <w:b w:val="0"/>
          <w:i w:val="0"/>
          <w:sz w:val="24"/>
        </w:rPr>
        <w:t>Một mẫu gỗ cổ có độ phóng xạ của ¹⁴C bằng 1/4 độ phóng xạ của một mẫu gỗ tươi cùng khối lượng. Biết chu kì bán rã của ¹⁴C là 5730 năm. Tuổi của mẫu gỗ cổ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22 920 năm.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5730 năm.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1433 năm.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11 460 năm.</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mẫu chất phóng xạ có chu kì bán rã 10 ngày. Sau bao lâu thì trong mẫu chỉ còn lại 20 % số hạt nhân ban đầu?</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khoảng 50 ngày.</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khoảng 20 ngày.</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khoảng 23,2 ngày.</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khoảng 5,0 ngày.</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đồ thị lnH theo thời gian t của một mẫu chất phóng xạ, trong đó H là độ phóng xạ của mẫu tính theo becquerel.</w:t>
      </w:r>
    </w:p>
    <w:p>
      <w:pPr>
        <w:keepNext/>
        <w:keepLines/>
        <w:spacing w:before="60" w:after="20"/>
        <w:jc w:val="center"/>
      </w:pPr>
      <w:r>
        <w:drawing>
          <wp:inline xmlns:a="http://schemas.openxmlformats.org/drawingml/2006/main" xmlns:pic="http://schemas.openxmlformats.org/drawingml/2006/picture">
            <wp:extent cx="3162626" cy="1943999"/>
            <wp:docPr id="7" name="Picture 7"/>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3162626"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Đồ thị là một đường thẳng, chứng tỏ độ phóng xạ giảm đều theo thời gian.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Hệ số góc của đường thẳng bằng −λ, với λ là hằng số phóng xạ.</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Từ đồ thị, hằng số phóng xạ của chất này xấp xỉ 0,173 giờ⁻¹.</w:t>
      </w:r>
    </w:p>
    <w:p>
      <w:pPr>
        <w:spacing w:before="0" w:after="20"/>
        <w:ind w:left="340"/>
      </w:pPr>
      <w:r>
        <w:rPr>
          <w:rFonts w:ascii="Times New Roman" w:hAnsi="Times New Roman"/>
          <w:b/>
          <w:i w:val="0"/>
          <w:sz w:val="24"/>
        </w:rPr>
        <w:t xml:space="preserve">d) </w:t>
      </w:r>
      <w:r>
        <w:rPr>
          <w:rFonts w:ascii="Times New Roman" w:hAnsi="Times New Roman"/>
          <w:b w:val="0"/>
          <w:i w:val="0"/>
          <w:sz w:val="24"/>
        </w:rPr>
        <w:t>Chu kì bán rã của chất phóng xạ này xấp xỉ 5,8 giờ.</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đồ thị khối lượng chất phóng xạ còn lại theo thời gian của một mẫu có khối lượng ban đầu 80 g.</w:t>
      </w:r>
    </w:p>
    <w:p>
      <w:pPr>
        <w:keepNext/>
        <w:keepLines/>
        <w:spacing w:before="60" w:after="20"/>
        <w:jc w:val="center"/>
      </w:pPr>
      <w:r>
        <w:drawing>
          <wp:inline xmlns:a="http://schemas.openxmlformats.org/drawingml/2006/main" xmlns:pic="http://schemas.openxmlformats.org/drawingml/2006/picture">
            <wp:extent cx="3202356" cy="1943999"/>
            <wp:docPr id="8" name="Picture 8"/>
            <wp:cNvGraphicFramePr>
              <a:graphicFrameLocks noChangeAspect="1"/>
            </wp:cNvGraphicFramePr>
            <a:graphic>
              <a:graphicData uri="http://schemas.openxmlformats.org/drawingml/2006/picture">
                <pic:pic>
                  <pic:nvPicPr>
                    <pic:cNvPr id="0" name="t43c.png"/>
                    <pic:cNvPicPr/>
                  </pic:nvPicPr>
                  <pic:blipFill>
                    <a:blip r:embed="rId10"/>
                    <a:stretch>
                      <a:fillRect/>
                    </a:stretch>
                  </pic:blipFill>
                  <pic:spPr>
                    <a:xfrm>
                      <a:off x="0" y="0"/>
                      <a:ext cx="3202356"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chất là 16 ngày.</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Sau 16 ngày, khối lượng chất phóng xạ còn lại là 20 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Sau 32 ngày, khối lượng chất phóng xạ còn lại là 10 g.</w:t>
      </w:r>
    </w:p>
    <w:p>
      <w:pPr>
        <w:spacing w:before="0" w:after="20"/>
        <w:ind w:left="340"/>
      </w:pPr>
      <w:r>
        <w:rPr>
          <w:rFonts w:ascii="Times New Roman" w:hAnsi="Times New Roman"/>
          <w:b/>
          <w:i w:val="0"/>
          <w:sz w:val="24"/>
        </w:rPr>
        <w:t xml:space="preserve">d) </w:t>
      </w:r>
      <w:r>
        <w:rPr>
          <w:rFonts w:ascii="Times New Roman" w:hAnsi="Times New Roman"/>
          <w:b w:val="0"/>
          <w:i w:val="0"/>
          <w:sz w:val="24"/>
        </w:rPr>
        <w:t>Khối lượng chất đã bị phân rã sau 24 ngày là 70 g.</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mẫu chất phóng xạ có chu kì bán rã 4,0 giờ, ban đầu chứa 6,0·10²⁰ hạt nhân phóng xạ.</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Hằng số phóng xạ của chất này xấp xỉ 0,173 s⁻¹.</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Độ phóng xạ ban đầu của mẫu xấp xỉ 2,9·10¹⁶ Bq.</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Sau 12 giờ, số hạt nhân phóng xạ còn lại trong mẫu là 1,5·10²⁰.</w:t>
      </w:r>
    </w:p>
    <w:p>
      <w:pPr>
        <w:spacing w:before="0" w:after="20"/>
        <w:ind w:left="340"/>
      </w:pPr>
      <w:r>
        <w:rPr>
          <w:rFonts w:ascii="Times New Roman" w:hAnsi="Times New Roman"/>
          <w:b/>
          <w:i w:val="0"/>
          <w:sz w:val="24"/>
        </w:rPr>
        <w:t xml:space="preserve">d) </w:t>
      </w:r>
      <w:r>
        <w:rPr>
          <w:rFonts w:ascii="Times New Roman" w:hAnsi="Times New Roman"/>
          <w:b w:val="0"/>
          <w:i w:val="0"/>
          <w:sz w:val="24"/>
        </w:rPr>
        <w:t>Sau 12 giờ, độ phóng xạ của mẫu giảm còn 1/8 giá trị ban đầu.</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Hình vẽ là đồ thị độ phóng xạ theo thời gian của hai mẫu chất phóng xạ khác nhau, kí hiệu là X và Y.</w:t>
      </w:r>
    </w:p>
    <w:p>
      <w:pPr>
        <w:keepNext/>
        <w:keepLines/>
        <w:spacing w:before="60" w:after="20"/>
        <w:jc w:val="center"/>
      </w:pPr>
      <w:r>
        <w:drawing>
          <wp:inline xmlns:a="http://schemas.openxmlformats.org/drawingml/2006/main" xmlns:pic="http://schemas.openxmlformats.org/drawingml/2006/picture">
            <wp:extent cx="3248066" cy="1944000"/>
            <wp:docPr id="9" name="Picture 9"/>
            <wp:cNvGraphicFramePr>
              <a:graphicFrameLocks noChangeAspect="1"/>
            </wp:cNvGraphicFramePr>
            <a:graphic>
              <a:graphicData uri="http://schemas.openxmlformats.org/drawingml/2006/picture">
                <pic:pic>
                  <pic:nvPicPr>
                    <pic:cNvPr id="0" name="t44c.png"/>
                    <pic:cNvPicPr/>
                  </pic:nvPicPr>
                  <pic:blipFill>
                    <a:blip r:embed="rId11"/>
                    <a:stretch>
                      <a:fillRect/>
                    </a:stretch>
                  </pic:blipFill>
                  <pic:spPr>
                    <a:xfrm>
                      <a:off x="0" y="0"/>
                      <a:ext cx="3248066"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Chu kì bán rã của mẫu X là 5,0 giờ.</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Chu kì bán rã của mẫu Y là 10 giờ.</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thời điểm ban đầu, độ phóng xạ của mẫu X bằng một nửa độ phóng xạ của mẫu Y.</w:t>
      </w:r>
    </w:p>
    <w:p>
      <w:pPr>
        <w:spacing w:before="0" w:after="20"/>
        <w:ind w:left="340"/>
      </w:pPr>
      <w:r>
        <w:rPr>
          <w:rFonts w:ascii="Times New Roman" w:hAnsi="Times New Roman"/>
          <w:b/>
          <w:i w:val="0"/>
          <w:sz w:val="24"/>
        </w:rPr>
        <w:t xml:space="preserve">d) </w:t>
      </w:r>
      <w:r>
        <w:rPr>
          <w:rFonts w:ascii="Times New Roman" w:hAnsi="Times New Roman"/>
          <w:b w:val="0"/>
          <w:i w:val="0"/>
          <w:sz w:val="24"/>
        </w:rPr>
        <w:t>Ở thời điểm t = 15 giờ, độ phóng xạ của mẫu Y lớn gấp đôi độ phóng xạ của mẫu X.</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chất phóng xạ có chu kì bán rã 4,0 giờ. Tính hằng số phóng xạ của chất này (theo 10⁻⁵ s⁻¹,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Từ đồ thị lnH ở Câu 6, tính chu kì bán rã của chất phóng xạ (theo giờ, làm tròn đến hàng phần mười).</w:t>
      </w:r>
    </w:p>
    <w:p>
      <w:pPr>
        <w:keepNext/>
        <w:keepLines/>
        <w:spacing w:before="60" w:after="20"/>
        <w:jc w:val="center"/>
      </w:pPr>
      <w:r>
        <w:drawing>
          <wp:inline xmlns:a="http://schemas.openxmlformats.org/drawingml/2006/main" xmlns:pic="http://schemas.openxmlformats.org/drawingml/2006/picture">
            <wp:extent cx="3162626" cy="1943999"/>
            <wp:docPr id="10" name="Picture 10"/>
            <wp:cNvGraphicFramePr>
              <a:graphicFrameLocks noChangeAspect="1"/>
            </wp:cNvGraphicFramePr>
            <a:graphic>
              <a:graphicData uri="http://schemas.openxmlformats.org/drawingml/2006/picture">
                <pic:pic>
                  <pic:nvPicPr>
                    <pic:cNvPr id="0" name="t43a.png"/>
                    <pic:cNvPicPr/>
                  </pic:nvPicPr>
                  <pic:blipFill>
                    <a:blip r:embed="rId9"/>
                    <a:stretch>
                      <a:fillRect/>
                    </a:stretch>
                  </pic:blipFill>
                  <pic:spPr>
                    <a:xfrm>
                      <a:off x="0" y="0"/>
                      <a:ext cx="3162626" cy="1943999"/>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mẫu chất phóng xạ chứa 5,0·10²⁰ hạt nhân và có hằng số phóng xạ 2,0·10⁻⁶ s⁻¹. Tính độ phóng xạ của mẫu (theo 10¹⁴ Bq,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Độ phóng xạ ban đầu của một mẫu chất là 800 Bq và chu kì bán rã của chất đó là 5,0 giờ. Tính độ phóng xạ của mẫu sau 15 giờ (theo Bq,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mẫu gỗ cổ có độ phóng xạ của ¹⁴C bằng 1/4 độ phóng xạ của mẫu gỗ tươi cùng khối lượng. Chu kì bán rã của ¹⁴C là 5730 năm. Tính tuổi của mẫu gỗ cổ (theo 10³ năm,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mẫu chất phóng xạ có chu kì bán rã 10 ngày. Sau bao lâu thì trong mẫu chỉ còn lại 20 % số hạt nhân ban đầu? (Kết quả theo ngày,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