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CBF1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1.依法许可原则 </w:t>
      </w:r>
    </w:p>
    <w:p w14:paraId="7F15E65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2.公开、公平、公正、非歧视原则（三公） </w:t>
      </w:r>
    </w:p>
    <w:p w14:paraId="78D9913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3.便民原则 </w:t>
      </w:r>
    </w:p>
    <w:p w14:paraId="1E7671B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4.救济原则</w:t>
      </w:r>
    </w:p>
    <w:p w14:paraId="0112849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公民、法人或者其他组织对行政机关实施行政许可，享有陈述权、申辩权； </w:t>
      </w:r>
    </w:p>
    <w:p w14:paraId="08871C6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有权依法申请行政复议或者提起行政诉讼；其合法权益因行政机关违法实施行政 </w:t>
      </w:r>
    </w:p>
    <w:p w14:paraId="1111A63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许可受到损害的，有权依法要求赔偿。 </w:t>
      </w:r>
    </w:p>
    <w:p w14:paraId="716DE8A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5.信赖保护原则 </w:t>
      </w:r>
    </w:p>
    <w:p w14:paraId="43E12B7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（1）行政机关不得擅自改变已经生效的行政许可。 </w:t>
      </w:r>
    </w:p>
    <w:p w14:paraId="2BBFDC8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（2）行政许可所依据的法律、法规、规章修改或者废止，或者准予行政许 </w:t>
      </w:r>
    </w:p>
    <w:p w14:paraId="5F86B29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可所依据的客观情况发生重大变化的，为了公共利益的需要，行政机关可以依法 </w:t>
      </w:r>
    </w:p>
    <w:p w14:paraId="57D28FF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变更或者撤回已经生效的行政许可。由此给公民、法人或者其他组织造成财产损 </w:t>
      </w:r>
    </w:p>
    <w:p w14:paraId="4210FA5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失的，行政机关应当依法给予补偿。 </w:t>
      </w:r>
    </w:p>
    <w:p w14:paraId="0DA1F1E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6.禁止转让原则 </w:t>
      </w:r>
    </w:p>
    <w:p w14:paraId="069CC97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依法取得的行政许可，除法律、法规规定依照法定条件和程序可以转让的外， </w:t>
      </w:r>
    </w:p>
    <w:p w14:paraId="31EFB45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不得转让。 </w:t>
      </w:r>
    </w:p>
    <w:p w14:paraId="6166866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7.监督原则 </w:t>
      </w:r>
    </w:p>
    <w:p w14:paraId="73CC00D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行政机关应当对公民、法人或者其他组织从事行政许可事项的活动实施有效 </w:t>
      </w:r>
    </w:p>
    <w:p w14:paraId="15F04EF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监督。</w:t>
      </w:r>
    </w:p>
    <w:p w14:paraId="078E403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【解析】行政许可的基本原则：考查较少，理解意思即可，重点把握第五个， </w:t>
      </w:r>
    </w:p>
    <w:p w14:paraId="46233A7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其他的简单了解。 </w:t>
      </w:r>
    </w:p>
    <w:p w14:paraId="20AB2B6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1.依法许可原则：行政机关在设定和实施行政许可时也要遵守法律的规定， </w:t>
      </w:r>
    </w:p>
    <w:p w14:paraId="073EB8B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不能违法，是合法行政的具体要求。 </w:t>
      </w:r>
    </w:p>
    <w:p w14:paraId="1927262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2.“三公”原则：公开、公平、公正、非歧视原则。许可背后有利益，如特 </w:t>
      </w:r>
    </w:p>
    <w:p w14:paraId="513F18C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许，给了采矿权就可以挣大钱，往往是通过公开招投标的方式确定，不会暗箱操 </w:t>
      </w:r>
    </w:p>
    <w:p w14:paraId="3835C0A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作，否则所有采矿权可能都归领导的亲属了。 </w:t>
      </w:r>
    </w:p>
    <w:p w14:paraId="7FB0CA3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3.便民原则：如“一个窗口对外”、网上办理相关事项、让百姓少跑路，都 </w:t>
      </w:r>
    </w:p>
    <w:p w14:paraId="5692202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是为了减轻百姓负担，方便百姓。</w:t>
      </w:r>
    </w:p>
    <w:p w14:paraId="4BC3F8A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4.救济原则：和行政处罚法中保护当事人的程序权利是一个意思，不过我国 </w:t>
      </w:r>
    </w:p>
    <w:p w14:paraId="10F8D98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行政许可法与行政处罚法是分别立法的，不统一，故而起的名字不同，行政机关 </w:t>
      </w:r>
    </w:p>
    <w:p w14:paraId="4C16284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作出许可决定前，公民、法人或者其他组织有陈述申辩权，不服可以提起行政诉 </w:t>
      </w:r>
    </w:p>
    <w:p w14:paraId="53D7222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讼、行政复议、请求赔偿。 </w:t>
      </w:r>
    </w:p>
    <w:p w14:paraId="0D573C4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5.信赖保护原则（单独考查过）：其实就是政府要言出必行，不能朝令夕改、 </w:t>
      </w:r>
    </w:p>
    <w:p w14:paraId="0C50795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出尔反尔。 </w:t>
      </w:r>
    </w:p>
    <w:p w14:paraId="30C0571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（1）原则上，行政机关不得擅自改变已经生效的行政许可，如政府给了甲 </w:t>
      </w:r>
    </w:p>
    <w:p w14:paraId="629252D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 年采矿权，就要保障甲有两年的采矿时间，不能过了半个月就要收回。 </w:t>
      </w:r>
    </w:p>
    <w:p w14:paraId="443DC0C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（2）例外：为了公共利益的需要，如采矿的地方发现古墓，可以收回，对 </w:t>
      </w:r>
    </w:p>
    <w:p w14:paraId="5F4F6FF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百姓造成的损失机关要给予补偿。注意：补偿不能表述为赔偿，合法补、违法赔。 </w:t>
      </w:r>
    </w:p>
    <w:p w14:paraId="45017A1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现在收回采矿权是为了公共利益，是合法的，故而给的是补偿。 </w:t>
      </w:r>
    </w:p>
    <w:p w14:paraId="4D92B2F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6.禁止转让原则：原则上依法取得的行政许可不能对外转让，如甲有律师资 </w:t>
      </w:r>
    </w:p>
    <w:p w14:paraId="753578F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格证，不能 20 万卖给他人，但有例外，即法律、法规规定可以转让的除外，如 </w:t>
      </w:r>
    </w:p>
    <w:p w14:paraId="3C7589F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山西煤炭资源整合，明确规定小煤矿主可以转让自己剩余的采矿年限。 </w:t>
      </w:r>
    </w:p>
    <w:p w14:paraId="05AA1DA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7.监督原则：行政机关对百姓从事行政许可事项的活动实施有效监督。例如 </w:t>
      </w:r>
    </w:p>
    <w:p w14:paraId="7A96F46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开了火锅店，市监局会定期不定期检查其是否合法经营、是否使用了地沟油、食 </w:t>
      </w:r>
    </w:p>
    <w:p w14:paraId="728521B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材是否新鲜等。</w:t>
      </w:r>
    </w:p>
    <w:p w14:paraId="6B17430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C36F35"/>
    <w:rsid w:val="61F77791"/>
    <w:rsid w:val="66B36D69"/>
    <w:rsid w:val="68C8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jc w:val="left"/>
      <w:outlineLvl w:val="0"/>
    </w:pPr>
    <w:rPr>
      <w:rFonts w:ascii="宋体" w:hAnsi="宋体" w:eastAsia="宋体"/>
      <w:bCs/>
      <w:color w:val="000000"/>
      <w:sz w:val="42"/>
      <w:szCs w:val="28"/>
    </w:rPr>
  </w:style>
  <w:style w:type="paragraph" w:styleId="4">
    <w:name w:val="heading 2"/>
    <w:basedOn w:val="2"/>
    <w:next w:val="2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宋体"/>
      <w:b w:val="0"/>
      <w:sz w:val="4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7">
    <w:name w:val="标题 1 Char"/>
    <w:link w:val="2"/>
    <w:qFormat/>
    <w:uiPriority w:val="0"/>
    <w:rPr>
      <w:rFonts w:ascii="宋体" w:hAnsi="宋体" w:eastAsia="宋体"/>
      <w:bCs/>
      <w:color w:val="000000"/>
      <w:sz w:val="4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2026-04-19T09:15:00Z</dcterms:created>
  <dc:creator>tagts</dc:creator>
  <cp:lastModifiedBy>WPS_1678762340</cp:lastModifiedBy>
  <dcterms:modified xsi:type="dcterms:W3CDTF">2026-04-22T14:53:03Z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06CF176062D149A9B894248E5C9ECD19_12</vt:lpwstr>
  </property>
  <property fmtid="{D5CDD505-2E9C-101B-9397-08002B2CF9AE}" pid="4" name="KSOTemplateDocerSaveRecord">
    <vt:lpwstr>eyJoZGlkIjoiYjdjNzIwNTQzNjllMzZhMmJiZmY4MmJhN2NjYjA4MTEiLCJ1c2VySWQiOiIxNDc5NTg1NzU5In0=</vt:lpwstr>
  </property>
</Properties>
</file>